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0CA" w:rsidRDefault="00B440CA" w:rsidP="00062116">
      <w:pPr>
        <w:jc w:val="center"/>
        <w:rPr>
          <w:b/>
          <w:sz w:val="48"/>
          <w:szCs w:val="48"/>
        </w:rPr>
      </w:pPr>
    </w:p>
    <w:p w:rsidR="004825E4" w:rsidRPr="00942761" w:rsidRDefault="004825E4" w:rsidP="00062116">
      <w:pPr>
        <w:jc w:val="center"/>
        <w:rPr>
          <w:b/>
          <w:sz w:val="40"/>
          <w:szCs w:val="40"/>
        </w:rPr>
      </w:pPr>
    </w:p>
    <w:p w:rsidR="0055452C" w:rsidRPr="008143C6" w:rsidRDefault="008143C6" w:rsidP="008143C6">
      <w:pPr>
        <w:spacing w:after="120"/>
        <w:jc w:val="center"/>
        <w:rPr>
          <w:b/>
          <w:sz w:val="32"/>
          <w:szCs w:val="32"/>
        </w:rPr>
      </w:pPr>
      <w:r>
        <w:rPr>
          <w:b/>
          <w:sz w:val="24"/>
          <w:szCs w:val="24"/>
        </w:rPr>
        <w:t xml:space="preserve">                </w:t>
      </w:r>
      <w:r w:rsidR="0042327B" w:rsidRPr="008143C6">
        <w:rPr>
          <w:b/>
          <w:sz w:val="32"/>
          <w:szCs w:val="32"/>
        </w:rPr>
        <w:t xml:space="preserve">Medi-Cal </w:t>
      </w:r>
      <w:r w:rsidRPr="008143C6">
        <w:rPr>
          <w:b/>
          <w:sz w:val="32"/>
          <w:szCs w:val="32"/>
        </w:rPr>
        <w:t>Voluntary Inpatient Detox (VID)</w:t>
      </w:r>
      <w:r w:rsidR="001E7BF6" w:rsidRPr="008143C6">
        <w:rPr>
          <w:b/>
          <w:sz w:val="32"/>
          <w:szCs w:val="32"/>
        </w:rPr>
        <w:t xml:space="preserve"> </w:t>
      </w:r>
      <w:r w:rsidR="004421B8" w:rsidRPr="008143C6">
        <w:rPr>
          <w:b/>
          <w:sz w:val="32"/>
          <w:szCs w:val="32"/>
        </w:rPr>
        <w:t>Quick Guide</w:t>
      </w:r>
    </w:p>
    <w:tbl>
      <w:tblPr>
        <w:tblW w:w="1062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0"/>
        <w:gridCol w:w="2970"/>
        <w:gridCol w:w="3960"/>
      </w:tblGrid>
      <w:tr w:rsidR="00602806" w:rsidRPr="007331DF" w:rsidTr="00793EA0">
        <w:trPr>
          <w:trHeight w:val="1055"/>
        </w:trPr>
        <w:tc>
          <w:tcPr>
            <w:tcW w:w="3690" w:type="dxa"/>
            <w:shd w:val="clear" w:color="auto" w:fill="FFFF00"/>
            <w:vAlign w:val="center"/>
          </w:tcPr>
          <w:p w:rsidR="00602806" w:rsidRPr="007331DF" w:rsidRDefault="00602806" w:rsidP="00EF1712">
            <w:pPr>
              <w:spacing w:after="0" w:line="240" w:lineRule="auto"/>
              <w:jc w:val="center"/>
              <w:rPr>
                <w:b/>
                <w:sz w:val="20"/>
                <w:szCs w:val="20"/>
              </w:rPr>
            </w:pPr>
            <w:r w:rsidRPr="007331DF">
              <w:rPr>
                <w:b/>
                <w:sz w:val="20"/>
                <w:szCs w:val="20"/>
              </w:rPr>
              <w:t>Health Plan</w:t>
            </w:r>
          </w:p>
        </w:tc>
        <w:tc>
          <w:tcPr>
            <w:tcW w:w="2970" w:type="dxa"/>
            <w:shd w:val="clear" w:color="auto" w:fill="FFFF00"/>
            <w:vAlign w:val="center"/>
          </w:tcPr>
          <w:p w:rsidR="00602806" w:rsidRPr="006C632C" w:rsidRDefault="00602806" w:rsidP="006C632C">
            <w:pPr>
              <w:spacing w:after="0" w:line="240" w:lineRule="auto"/>
              <w:jc w:val="center"/>
              <w:rPr>
                <w:b/>
                <w:sz w:val="20"/>
                <w:szCs w:val="20"/>
                <w:vertAlign w:val="superscript"/>
              </w:rPr>
            </w:pPr>
            <w:r>
              <w:rPr>
                <w:b/>
                <w:sz w:val="20"/>
                <w:szCs w:val="20"/>
              </w:rPr>
              <w:t>Medi-Cal</w:t>
            </w:r>
            <w:r w:rsidRPr="007331DF">
              <w:rPr>
                <w:b/>
                <w:sz w:val="20"/>
                <w:szCs w:val="20"/>
              </w:rPr>
              <w:t xml:space="preserve"> </w:t>
            </w:r>
            <w:r w:rsidR="006C632C">
              <w:rPr>
                <w:b/>
                <w:sz w:val="20"/>
                <w:szCs w:val="20"/>
              </w:rPr>
              <w:t>Specialty Mental Health Services</w:t>
            </w:r>
            <w:r w:rsidR="006C632C">
              <w:rPr>
                <w:b/>
                <w:sz w:val="20"/>
                <w:szCs w:val="20"/>
                <w:vertAlign w:val="superscript"/>
              </w:rPr>
              <w:t>1</w:t>
            </w:r>
          </w:p>
        </w:tc>
        <w:tc>
          <w:tcPr>
            <w:tcW w:w="3960" w:type="dxa"/>
            <w:shd w:val="clear" w:color="auto" w:fill="FFFF00"/>
            <w:vAlign w:val="center"/>
          </w:tcPr>
          <w:p w:rsidR="00602806" w:rsidRDefault="00602806" w:rsidP="00EF1712">
            <w:pPr>
              <w:spacing w:after="0" w:line="240" w:lineRule="auto"/>
              <w:jc w:val="center"/>
              <w:rPr>
                <w:b/>
                <w:sz w:val="20"/>
                <w:szCs w:val="20"/>
              </w:rPr>
            </w:pPr>
            <w:r>
              <w:rPr>
                <w:b/>
                <w:sz w:val="20"/>
                <w:szCs w:val="20"/>
              </w:rPr>
              <w:t>Medi-Cal Managed Care Plan</w:t>
            </w:r>
          </w:p>
          <w:p w:rsidR="00602806" w:rsidRPr="006C632C" w:rsidRDefault="006C632C" w:rsidP="00602806">
            <w:pPr>
              <w:spacing w:after="0" w:line="240" w:lineRule="auto"/>
              <w:jc w:val="center"/>
              <w:rPr>
                <w:b/>
                <w:sz w:val="20"/>
                <w:szCs w:val="20"/>
                <w:vertAlign w:val="superscript"/>
              </w:rPr>
            </w:pPr>
            <w:r>
              <w:rPr>
                <w:b/>
                <w:sz w:val="20"/>
                <w:szCs w:val="20"/>
              </w:rPr>
              <w:t>Behavioral Health Services</w:t>
            </w:r>
            <w:r>
              <w:rPr>
                <w:b/>
                <w:sz w:val="20"/>
                <w:szCs w:val="20"/>
                <w:vertAlign w:val="superscript"/>
              </w:rPr>
              <w:t>2</w:t>
            </w:r>
          </w:p>
        </w:tc>
      </w:tr>
      <w:tr w:rsidR="00602806" w:rsidRPr="007331DF" w:rsidTr="00793EA0">
        <w:tc>
          <w:tcPr>
            <w:tcW w:w="3690" w:type="dxa"/>
            <w:vAlign w:val="center"/>
          </w:tcPr>
          <w:p w:rsidR="00793EA0" w:rsidRPr="00793EA0" w:rsidRDefault="00793EA0" w:rsidP="00793EA0">
            <w:pPr>
              <w:spacing w:after="0" w:line="240" w:lineRule="auto"/>
              <w:jc w:val="center"/>
              <w:rPr>
                <w:b/>
                <w:szCs w:val="20"/>
              </w:rPr>
            </w:pPr>
            <w:r>
              <w:rPr>
                <w:b/>
                <w:szCs w:val="20"/>
              </w:rPr>
              <w:t>Blue Shield CA Promise Health Plan</w:t>
            </w:r>
          </w:p>
        </w:tc>
        <w:tc>
          <w:tcPr>
            <w:tcW w:w="2970" w:type="dxa"/>
            <w:vAlign w:val="center"/>
          </w:tcPr>
          <w:p w:rsidR="00602806" w:rsidRPr="007331DF" w:rsidRDefault="00602806" w:rsidP="00EE308F">
            <w:pPr>
              <w:spacing w:after="0" w:line="240" w:lineRule="auto"/>
              <w:rPr>
                <w:sz w:val="20"/>
                <w:szCs w:val="20"/>
              </w:rPr>
            </w:pPr>
            <w:r w:rsidRPr="007331DF">
              <w:rPr>
                <w:sz w:val="20"/>
                <w:szCs w:val="20"/>
              </w:rPr>
              <w:t>San Diego Access &amp; Crisis Line</w:t>
            </w:r>
          </w:p>
          <w:p w:rsidR="00602806" w:rsidRPr="007331DF" w:rsidRDefault="00602806" w:rsidP="00EE308F">
            <w:pPr>
              <w:spacing w:after="0" w:line="240" w:lineRule="auto"/>
              <w:rPr>
                <w:sz w:val="20"/>
                <w:szCs w:val="20"/>
              </w:rPr>
            </w:pPr>
            <w:r w:rsidRPr="007331DF">
              <w:rPr>
                <w:sz w:val="20"/>
                <w:szCs w:val="20"/>
              </w:rPr>
              <w:t>(888) 724-7240</w:t>
            </w:r>
          </w:p>
        </w:tc>
        <w:tc>
          <w:tcPr>
            <w:tcW w:w="3960" w:type="dxa"/>
            <w:vAlign w:val="center"/>
          </w:tcPr>
          <w:p w:rsidR="007061A1" w:rsidRDefault="007061A1" w:rsidP="00E67303">
            <w:pPr>
              <w:spacing w:after="0" w:line="240" w:lineRule="auto"/>
              <w:rPr>
                <w:sz w:val="20"/>
                <w:szCs w:val="20"/>
              </w:rPr>
            </w:pPr>
            <w:r w:rsidRPr="007061A1">
              <w:rPr>
                <w:szCs w:val="20"/>
              </w:rPr>
              <w:t>Blue Shield CA Promise Health Plan</w:t>
            </w:r>
            <w:r w:rsidRPr="007331DF">
              <w:rPr>
                <w:sz w:val="20"/>
                <w:szCs w:val="20"/>
              </w:rPr>
              <w:t xml:space="preserve"> </w:t>
            </w:r>
          </w:p>
          <w:p w:rsidR="00602806" w:rsidRPr="007331DF" w:rsidRDefault="00602806" w:rsidP="00E67303">
            <w:pPr>
              <w:spacing w:after="0" w:line="240" w:lineRule="auto"/>
              <w:rPr>
                <w:sz w:val="20"/>
                <w:szCs w:val="20"/>
              </w:rPr>
            </w:pPr>
            <w:r w:rsidRPr="007331DF">
              <w:rPr>
                <w:sz w:val="20"/>
                <w:szCs w:val="20"/>
              </w:rPr>
              <w:t>(8</w:t>
            </w:r>
            <w:r>
              <w:rPr>
                <w:sz w:val="20"/>
                <w:szCs w:val="20"/>
              </w:rPr>
              <w:t>55</w:t>
            </w:r>
            <w:r w:rsidRPr="007331DF">
              <w:rPr>
                <w:sz w:val="20"/>
                <w:szCs w:val="20"/>
              </w:rPr>
              <w:t xml:space="preserve">) </w:t>
            </w:r>
            <w:r>
              <w:rPr>
                <w:sz w:val="20"/>
                <w:szCs w:val="20"/>
              </w:rPr>
              <w:t>321-2211</w:t>
            </w:r>
          </w:p>
        </w:tc>
      </w:tr>
      <w:tr w:rsidR="00602806" w:rsidRPr="007331DF" w:rsidTr="00793EA0">
        <w:tc>
          <w:tcPr>
            <w:tcW w:w="3690" w:type="dxa"/>
            <w:vAlign w:val="center"/>
          </w:tcPr>
          <w:p w:rsidR="001C152E" w:rsidRPr="00437D4E" w:rsidRDefault="00602806" w:rsidP="00437D4E">
            <w:pPr>
              <w:spacing w:after="0" w:line="240" w:lineRule="auto"/>
              <w:jc w:val="center"/>
              <w:rPr>
                <w:b/>
                <w:szCs w:val="20"/>
              </w:rPr>
            </w:pPr>
            <w:r w:rsidRPr="001C152E">
              <w:rPr>
                <w:b/>
                <w:szCs w:val="20"/>
              </w:rPr>
              <w:t>Community Health Group</w:t>
            </w:r>
          </w:p>
        </w:tc>
        <w:tc>
          <w:tcPr>
            <w:tcW w:w="2970" w:type="dxa"/>
            <w:vAlign w:val="center"/>
          </w:tcPr>
          <w:p w:rsidR="00602806" w:rsidRPr="007331DF" w:rsidRDefault="00602806" w:rsidP="00EE308F">
            <w:pPr>
              <w:spacing w:after="0" w:line="240" w:lineRule="auto"/>
              <w:rPr>
                <w:sz w:val="20"/>
                <w:szCs w:val="20"/>
              </w:rPr>
            </w:pPr>
            <w:r w:rsidRPr="007331DF">
              <w:rPr>
                <w:sz w:val="20"/>
                <w:szCs w:val="20"/>
              </w:rPr>
              <w:t>San Diego Access &amp; Crisis Line</w:t>
            </w:r>
          </w:p>
          <w:p w:rsidR="00602806" w:rsidRPr="007331DF" w:rsidRDefault="00602806" w:rsidP="00EE308F">
            <w:pPr>
              <w:spacing w:after="0" w:line="240" w:lineRule="auto"/>
              <w:rPr>
                <w:sz w:val="20"/>
                <w:szCs w:val="20"/>
              </w:rPr>
            </w:pPr>
            <w:r w:rsidRPr="007331DF">
              <w:rPr>
                <w:sz w:val="20"/>
                <w:szCs w:val="20"/>
              </w:rPr>
              <w:t>(888) 724-7240</w:t>
            </w:r>
          </w:p>
        </w:tc>
        <w:tc>
          <w:tcPr>
            <w:tcW w:w="3960" w:type="dxa"/>
            <w:vAlign w:val="center"/>
          </w:tcPr>
          <w:p w:rsidR="00602806" w:rsidRPr="007331DF" w:rsidRDefault="00602806" w:rsidP="00E67303">
            <w:pPr>
              <w:spacing w:after="0" w:line="240" w:lineRule="auto"/>
              <w:rPr>
                <w:sz w:val="20"/>
                <w:szCs w:val="20"/>
              </w:rPr>
            </w:pPr>
            <w:r w:rsidRPr="007331DF">
              <w:rPr>
                <w:sz w:val="20"/>
                <w:szCs w:val="20"/>
              </w:rPr>
              <w:t>Behavioral Health Services</w:t>
            </w:r>
          </w:p>
          <w:p w:rsidR="00602806" w:rsidRPr="007331DF" w:rsidRDefault="00602806" w:rsidP="00E67303">
            <w:pPr>
              <w:spacing w:after="0" w:line="240" w:lineRule="auto"/>
              <w:rPr>
                <w:sz w:val="20"/>
                <w:szCs w:val="20"/>
              </w:rPr>
            </w:pPr>
            <w:r w:rsidRPr="007331DF">
              <w:rPr>
                <w:sz w:val="20"/>
                <w:szCs w:val="20"/>
              </w:rPr>
              <w:t>(800) 404-3332</w:t>
            </w:r>
          </w:p>
        </w:tc>
      </w:tr>
      <w:tr w:rsidR="00602806" w:rsidRPr="007331DF" w:rsidTr="00793EA0">
        <w:tc>
          <w:tcPr>
            <w:tcW w:w="3690" w:type="dxa"/>
            <w:vAlign w:val="center"/>
          </w:tcPr>
          <w:p w:rsidR="001C152E" w:rsidRPr="00437D4E" w:rsidRDefault="00602806" w:rsidP="00437D4E">
            <w:pPr>
              <w:spacing w:after="0" w:line="240" w:lineRule="auto"/>
              <w:jc w:val="center"/>
              <w:rPr>
                <w:b/>
                <w:szCs w:val="20"/>
              </w:rPr>
            </w:pPr>
            <w:r w:rsidRPr="001C152E">
              <w:rPr>
                <w:b/>
                <w:szCs w:val="20"/>
              </w:rPr>
              <w:t>Kaiser Permanente</w:t>
            </w:r>
          </w:p>
        </w:tc>
        <w:tc>
          <w:tcPr>
            <w:tcW w:w="2970" w:type="dxa"/>
            <w:vAlign w:val="center"/>
          </w:tcPr>
          <w:p w:rsidR="00602806" w:rsidRPr="007331DF" w:rsidRDefault="00602806" w:rsidP="00EE308F">
            <w:pPr>
              <w:spacing w:after="0" w:line="240" w:lineRule="auto"/>
              <w:rPr>
                <w:sz w:val="20"/>
                <w:szCs w:val="20"/>
              </w:rPr>
            </w:pPr>
            <w:r w:rsidRPr="007331DF">
              <w:rPr>
                <w:sz w:val="20"/>
                <w:szCs w:val="20"/>
              </w:rPr>
              <w:t>San Diego Access &amp; Crisis Line</w:t>
            </w:r>
          </w:p>
          <w:p w:rsidR="00602806" w:rsidRPr="007331DF" w:rsidRDefault="00602806" w:rsidP="00EE308F">
            <w:pPr>
              <w:spacing w:after="0" w:line="240" w:lineRule="auto"/>
              <w:rPr>
                <w:sz w:val="20"/>
                <w:szCs w:val="20"/>
              </w:rPr>
            </w:pPr>
            <w:r w:rsidRPr="007331DF">
              <w:rPr>
                <w:sz w:val="20"/>
                <w:szCs w:val="20"/>
              </w:rPr>
              <w:t>(888) 724-7240</w:t>
            </w:r>
          </w:p>
        </w:tc>
        <w:tc>
          <w:tcPr>
            <w:tcW w:w="3960" w:type="dxa"/>
            <w:vAlign w:val="center"/>
          </w:tcPr>
          <w:p w:rsidR="00602806" w:rsidRPr="007331DF" w:rsidRDefault="00602806" w:rsidP="00E67303">
            <w:pPr>
              <w:spacing w:after="0" w:line="240" w:lineRule="auto"/>
              <w:rPr>
                <w:sz w:val="20"/>
                <w:szCs w:val="20"/>
              </w:rPr>
            </w:pPr>
            <w:r w:rsidRPr="007331DF">
              <w:rPr>
                <w:sz w:val="20"/>
                <w:szCs w:val="20"/>
              </w:rPr>
              <w:t>Kaiser Permanente, Department of Psychiatry</w:t>
            </w:r>
          </w:p>
          <w:p w:rsidR="00602806" w:rsidRPr="007331DF" w:rsidRDefault="00602806" w:rsidP="00E67303">
            <w:pPr>
              <w:spacing w:after="0" w:line="240" w:lineRule="auto"/>
              <w:rPr>
                <w:sz w:val="20"/>
                <w:szCs w:val="20"/>
              </w:rPr>
            </w:pPr>
            <w:r w:rsidRPr="007331DF">
              <w:rPr>
                <w:sz w:val="20"/>
                <w:szCs w:val="20"/>
              </w:rPr>
              <w:t>(877) 496-0450</w:t>
            </w:r>
          </w:p>
        </w:tc>
      </w:tr>
      <w:tr w:rsidR="00602806" w:rsidRPr="007331DF" w:rsidTr="00793EA0">
        <w:tc>
          <w:tcPr>
            <w:tcW w:w="3690" w:type="dxa"/>
            <w:vAlign w:val="center"/>
          </w:tcPr>
          <w:p w:rsidR="001C152E" w:rsidRPr="00437D4E" w:rsidRDefault="00602806" w:rsidP="00437D4E">
            <w:pPr>
              <w:spacing w:after="0" w:line="240" w:lineRule="auto"/>
              <w:jc w:val="center"/>
              <w:rPr>
                <w:b/>
                <w:szCs w:val="20"/>
              </w:rPr>
            </w:pPr>
            <w:r w:rsidRPr="001C152E">
              <w:rPr>
                <w:b/>
                <w:szCs w:val="20"/>
              </w:rPr>
              <w:t>Molina Healthcare</w:t>
            </w:r>
          </w:p>
        </w:tc>
        <w:tc>
          <w:tcPr>
            <w:tcW w:w="2970" w:type="dxa"/>
            <w:vAlign w:val="center"/>
          </w:tcPr>
          <w:p w:rsidR="00602806" w:rsidRPr="007331DF" w:rsidRDefault="00602806" w:rsidP="00EE308F">
            <w:pPr>
              <w:spacing w:after="0" w:line="240" w:lineRule="auto"/>
              <w:rPr>
                <w:sz w:val="20"/>
                <w:szCs w:val="20"/>
              </w:rPr>
            </w:pPr>
            <w:r w:rsidRPr="007331DF">
              <w:rPr>
                <w:sz w:val="20"/>
                <w:szCs w:val="20"/>
              </w:rPr>
              <w:t>San Diego Access &amp; Crisis Line</w:t>
            </w:r>
          </w:p>
          <w:p w:rsidR="00602806" w:rsidRPr="007331DF" w:rsidRDefault="00602806" w:rsidP="00EE308F">
            <w:pPr>
              <w:spacing w:after="0" w:line="240" w:lineRule="auto"/>
              <w:rPr>
                <w:sz w:val="20"/>
                <w:szCs w:val="20"/>
              </w:rPr>
            </w:pPr>
            <w:r w:rsidRPr="007331DF">
              <w:rPr>
                <w:sz w:val="20"/>
                <w:szCs w:val="20"/>
              </w:rPr>
              <w:t>(888) 724-7240</w:t>
            </w:r>
          </w:p>
        </w:tc>
        <w:tc>
          <w:tcPr>
            <w:tcW w:w="3960" w:type="dxa"/>
            <w:vAlign w:val="center"/>
          </w:tcPr>
          <w:p w:rsidR="00602806" w:rsidRPr="007331DF" w:rsidRDefault="00602806" w:rsidP="00E67303">
            <w:pPr>
              <w:spacing w:after="0" w:line="240" w:lineRule="auto"/>
              <w:rPr>
                <w:sz w:val="20"/>
                <w:szCs w:val="20"/>
              </w:rPr>
            </w:pPr>
            <w:r w:rsidRPr="007331DF">
              <w:rPr>
                <w:sz w:val="20"/>
                <w:szCs w:val="20"/>
              </w:rPr>
              <w:t>Molina Healthcare</w:t>
            </w:r>
          </w:p>
          <w:p w:rsidR="00602806" w:rsidRPr="007331DF" w:rsidRDefault="00AF4596" w:rsidP="004A5592">
            <w:pPr>
              <w:spacing w:after="0" w:line="240" w:lineRule="auto"/>
              <w:rPr>
                <w:sz w:val="20"/>
                <w:szCs w:val="20"/>
              </w:rPr>
            </w:pPr>
            <w:r w:rsidRPr="00AF4596">
              <w:rPr>
                <w:sz w:val="20"/>
                <w:szCs w:val="20"/>
              </w:rPr>
              <w:t>(888) 665-4621</w:t>
            </w:r>
          </w:p>
        </w:tc>
      </w:tr>
    </w:tbl>
    <w:p w:rsidR="00AF20EF" w:rsidRDefault="00AF20EF" w:rsidP="0078365F">
      <w:pPr>
        <w:spacing w:after="0" w:line="240" w:lineRule="auto"/>
        <w:contextualSpacing/>
        <w:jc w:val="center"/>
        <w:rPr>
          <w:sz w:val="20"/>
          <w:szCs w:val="20"/>
        </w:rPr>
      </w:pPr>
    </w:p>
    <w:p w:rsidR="0078365F" w:rsidRPr="00AF20EF" w:rsidRDefault="00E67AEB" w:rsidP="0078365F">
      <w:pPr>
        <w:spacing w:after="0" w:line="240" w:lineRule="auto"/>
        <w:contextualSpacing/>
        <w:jc w:val="center"/>
        <w:rPr>
          <w:b/>
          <w:sz w:val="20"/>
          <w:szCs w:val="20"/>
        </w:rPr>
      </w:pPr>
      <w:r w:rsidRPr="00AF20EF">
        <w:rPr>
          <w:b/>
          <w:sz w:val="20"/>
          <w:szCs w:val="20"/>
        </w:rPr>
        <w:t>(*Medi-Cal beneficiaries can access a County Behavioral Health program directly.)</w:t>
      </w:r>
    </w:p>
    <w:p w:rsidR="0078365F" w:rsidRPr="00AF20EF" w:rsidRDefault="0078365F" w:rsidP="0078365F">
      <w:pPr>
        <w:spacing w:after="0" w:line="240" w:lineRule="auto"/>
        <w:contextualSpacing/>
        <w:jc w:val="center"/>
        <w:rPr>
          <w:rStyle w:val="Strong"/>
          <w:sz w:val="20"/>
          <w:szCs w:val="24"/>
        </w:rPr>
      </w:pPr>
      <w:r w:rsidRPr="00AF20EF">
        <w:rPr>
          <w:rStyle w:val="Strong"/>
          <w:sz w:val="20"/>
          <w:szCs w:val="24"/>
        </w:rPr>
        <w:t>(*For emergencies call 911 or the Access &amp; Crisis Line at (888) 724-7240)</w:t>
      </w:r>
    </w:p>
    <w:p w:rsidR="00AF20EF" w:rsidRPr="0078365F" w:rsidRDefault="00AF20EF" w:rsidP="0078365F">
      <w:pPr>
        <w:spacing w:after="0" w:line="240" w:lineRule="auto"/>
        <w:contextualSpacing/>
        <w:jc w:val="center"/>
        <w:rPr>
          <w:b/>
          <w:bCs/>
          <w:sz w:val="20"/>
          <w:szCs w:val="24"/>
          <w:u w:val="single"/>
        </w:rPr>
      </w:pPr>
    </w:p>
    <w:p w:rsidR="004F23C9" w:rsidRPr="006C632C" w:rsidRDefault="0093563F" w:rsidP="009C601F">
      <w:pPr>
        <w:spacing w:line="240" w:lineRule="auto"/>
        <w:contextualSpacing/>
        <w:jc w:val="both"/>
        <w:rPr>
          <w:b/>
          <w:sz w:val="20"/>
          <w:szCs w:val="20"/>
          <w:vertAlign w:val="superscript"/>
        </w:rPr>
      </w:pPr>
      <w:r w:rsidRPr="007331DF">
        <w:rPr>
          <w:b/>
          <w:sz w:val="20"/>
          <w:szCs w:val="20"/>
          <w:u w:val="single"/>
        </w:rPr>
        <w:t>Medi-Ca</w:t>
      </w:r>
      <w:r w:rsidRPr="00EE308F">
        <w:rPr>
          <w:b/>
          <w:sz w:val="20"/>
          <w:szCs w:val="20"/>
          <w:u w:val="single"/>
        </w:rPr>
        <w:t>l</w:t>
      </w:r>
      <w:r w:rsidR="00EE308F">
        <w:rPr>
          <w:b/>
          <w:sz w:val="20"/>
          <w:szCs w:val="20"/>
          <w:u w:val="single"/>
        </w:rPr>
        <w:t xml:space="preserve"> </w:t>
      </w:r>
      <w:r w:rsidR="00026BB3">
        <w:rPr>
          <w:b/>
          <w:sz w:val="20"/>
          <w:szCs w:val="20"/>
          <w:u w:val="single"/>
        </w:rPr>
        <w:t>Specialty Mental Health Services</w:t>
      </w:r>
      <w:r w:rsidR="006C632C" w:rsidRPr="009C601F">
        <w:rPr>
          <w:b/>
          <w:sz w:val="20"/>
          <w:szCs w:val="20"/>
          <w:vertAlign w:val="superscript"/>
        </w:rPr>
        <w:t>1</w:t>
      </w:r>
    </w:p>
    <w:p w:rsidR="00062116" w:rsidRDefault="005D47F4" w:rsidP="009C601F">
      <w:pPr>
        <w:spacing w:line="240" w:lineRule="auto"/>
        <w:contextualSpacing/>
        <w:jc w:val="both"/>
        <w:rPr>
          <w:sz w:val="20"/>
          <w:szCs w:val="20"/>
        </w:rPr>
      </w:pPr>
      <w:r>
        <w:rPr>
          <w:sz w:val="20"/>
          <w:szCs w:val="20"/>
        </w:rPr>
        <w:t xml:space="preserve">County Behavioral Health Services </w:t>
      </w:r>
      <w:r w:rsidR="00026BB3">
        <w:rPr>
          <w:sz w:val="20"/>
          <w:szCs w:val="20"/>
        </w:rPr>
        <w:t>covers</w:t>
      </w:r>
      <w:r>
        <w:rPr>
          <w:sz w:val="20"/>
          <w:szCs w:val="20"/>
        </w:rPr>
        <w:t xml:space="preserve"> inpatient and outpatient </w:t>
      </w:r>
      <w:r w:rsidRPr="00602806">
        <w:rPr>
          <w:b/>
          <w:sz w:val="20"/>
          <w:szCs w:val="20"/>
        </w:rPr>
        <w:t>Medi-Cal Specialty Mental Health</w:t>
      </w:r>
      <w:r>
        <w:rPr>
          <w:sz w:val="20"/>
          <w:szCs w:val="20"/>
        </w:rPr>
        <w:t xml:space="preserve"> services to all Medi-Cal beneficiaries including th</w:t>
      </w:r>
      <w:r w:rsidR="009C601F">
        <w:rPr>
          <w:sz w:val="20"/>
          <w:szCs w:val="20"/>
        </w:rPr>
        <w:t>ose on a Medi-Cal Managed Care P</w:t>
      </w:r>
      <w:r>
        <w:rPr>
          <w:sz w:val="20"/>
          <w:szCs w:val="20"/>
        </w:rPr>
        <w:t>lan.</w:t>
      </w:r>
      <w:r w:rsidR="00026BB3">
        <w:rPr>
          <w:sz w:val="20"/>
          <w:szCs w:val="20"/>
        </w:rPr>
        <w:t xml:space="preserve">  Covered benefits </w:t>
      </w:r>
      <w:r w:rsidR="006C632C">
        <w:rPr>
          <w:sz w:val="20"/>
          <w:szCs w:val="20"/>
        </w:rPr>
        <w:t xml:space="preserve">are for clients with serious and persistent psychiatric illness requiring complex biopsychosocial services in order to maintain stability.  These services are commonly provided by San Diego County’s contracted network and </w:t>
      </w:r>
      <w:r w:rsidR="00026BB3">
        <w:rPr>
          <w:sz w:val="20"/>
          <w:szCs w:val="20"/>
        </w:rPr>
        <w:t xml:space="preserve">inpatient psychiatric hospitals.  </w:t>
      </w:r>
      <w:r w:rsidR="00AA3A38">
        <w:rPr>
          <w:sz w:val="20"/>
          <w:szCs w:val="20"/>
        </w:rPr>
        <w:t xml:space="preserve"> </w:t>
      </w:r>
    </w:p>
    <w:p w:rsidR="006C632C" w:rsidRPr="00DC280B" w:rsidRDefault="00DC280B" w:rsidP="009C601F">
      <w:pPr>
        <w:contextualSpacing/>
        <w:jc w:val="both"/>
        <w:rPr>
          <w:b/>
          <w:sz w:val="20"/>
          <w:szCs w:val="20"/>
        </w:rPr>
      </w:pPr>
      <w:r>
        <w:rPr>
          <w:b/>
          <w:sz w:val="20"/>
          <w:szCs w:val="20"/>
          <w:u w:val="single"/>
        </w:rPr>
        <w:t>Substance Use Treatment</w:t>
      </w:r>
      <w:r w:rsidR="00AA3A38">
        <w:rPr>
          <w:b/>
          <w:sz w:val="20"/>
          <w:szCs w:val="20"/>
        </w:rPr>
        <w:t xml:space="preserve">                            </w:t>
      </w:r>
      <w:r w:rsidR="00AA3A38" w:rsidRPr="00AA3A38">
        <w:rPr>
          <w:b/>
          <w:sz w:val="20"/>
          <w:szCs w:val="20"/>
          <w:highlight w:val="cyan"/>
        </w:rPr>
        <w:t xml:space="preserve">(SEE REVERSE SIDE FOR </w:t>
      </w:r>
      <w:r w:rsidRPr="00AA3A38">
        <w:rPr>
          <w:b/>
          <w:sz w:val="20"/>
          <w:szCs w:val="20"/>
          <w:highlight w:val="cyan"/>
        </w:rPr>
        <w:t>VOLUNTARY INPATIENT DETOX</w:t>
      </w:r>
      <w:r w:rsidR="00AA3A38" w:rsidRPr="00AA3A38">
        <w:rPr>
          <w:b/>
          <w:sz w:val="20"/>
          <w:szCs w:val="20"/>
          <w:highlight w:val="cyan"/>
        </w:rPr>
        <w:t xml:space="preserve"> INFORMATION)</w:t>
      </w:r>
    </w:p>
    <w:p w:rsidR="006C632C" w:rsidRDefault="006C632C" w:rsidP="009C601F">
      <w:pPr>
        <w:contextualSpacing/>
        <w:jc w:val="both"/>
        <w:rPr>
          <w:sz w:val="20"/>
          <w:szCs w:val="20"/>
        </w:rPr>
      </w:pPr>
      <w:r>
        <w:rPr>
          <w:sz w:val="20"/>
          <w:szCs w:val="20"/>
        </w:rPr>
        <w:t xml:space="preserve">Medi-Cal beneficiaries can receive substance abuse services through the </w:t>
      </w:r>
      <w:r w:rsidR="00AF20EF">
        <w:rPr>
          <w:sz w:val="20"/>
          <w:szCs w:val="20"/>
        </w:rPr>
        <w:t>San Diego County Drug Medi-Cal Organized Delivery System</w:t>
      </w:r>
      <w:r>
        <w:rPr>
          <w:sz w:val="20"/>
          <w:szCs w:val="20"/>
        </w:rPr>
        <w:t xml:space="preserve">.  These programs can be accessed by calling the Access &amp; Crisis Line.  Medi-Cal beneficiaries in need of Acute Medical Detoxification are covered by their Medi-Cal Managed Care </w:t>
      </w:r>
      <w:r w:rsidR="009C601F">
        <w:rPr>
          <w:sz w:val="20"/>
          <w:szCs w:val="20"/>
        </w:rPr>
        <w:t>P</w:t>
      </w:r>
      <w:r>
        <w:rPr>
          <w:sz w:val="20"/>
          <w:szCs w:val="20"/>
        </w:rPr>
        <w:t>lan.  Acute</w:t>
      </w:r>
      <w:r w:rsidR="009C601F">
        <w:rPr>
          <w:sz w:val="20"/>
          <w:szCs w:val="20"/>
        </w:rPr>
        <w:t xml:space="preserve"> Medical d</w:t>
      </w:r>
      <w:r>
        <w:rPr>
          <w:sz w:val="20"/>
          <w:szCs w:val="20"/>
        </w:rPr>
        <w:t>et</w:t>
      </w:r>
      <w:r w:rsidR="00CE31C1">
        <w:rPr>
          <w:sz w:val="20"/>
          <w:szCs w:val="20"/>
        </w:rPr>
        <w:t>oxification means treatment in an acute</w:t>
      </w:r>
      <w:r>
        <w:rPr>
          <w:sz w:val="20"/>
          <w:szCs w:val="20"/>
        </w:rPr>
        <w:t xml:space="preserve"> medical facility for a serious medical condition relating to substance withdrawal.</w:t>
      </w:r>
    </w:p>
    <w:p w:rsidR="0093563F" w:rsidRPr="007331DF" w:rsidRDefault="00026BB3" w:rsidP="009C601F">
      <w:pPr>
        <w:contextualSpacing/>
        <w:jc w:val="both"/>
        <w:rPr>
          <w:b/>
          <w:sz w:val="20"/>
          <w:szCs w:val="20"/>
          <w:u w:val="single"/>
        </w:rPr>
      </w:pPr>
      <w:r>
        <w:rPr>
          <w:b/>
          <w:sz w:val="20"/>
          <w:szCs w:val="20"/>
          <w:u w:val="single"/>
        </w:rPr>
        <w:t xml:space="preserve">Medi-Cal Managed Care </w:t>
      </w:r>
      <w:r w:rsidR="006C632C">
        <w:rPr>
          <w:b/>
          <w:sz w:val="20"/>
          <w:szCs w:val="20"/>
          <w:u w:val="single"/>
        </w:rPr>
        <w:t>Plan Behavioral Health Services</w:t>
      </w:r>
      <w:r w:rsidR="006C632C">
        <w:rPr>
          <w:b/>
          <w:sz w:val="20"/>
          <w:szCs w:val="20"/>
          <w:vertAlign w:val="superscript"/>
        </w:rPr>
        <w:t>2</w:t>
      </w:r>
      <w:r>
        <w:rPr>
          <w:b/>
          <w:sz w:val="20"/>
          <w:szCs w:val="20"/>
          <w:u w:val="single"/>
        </w:rPr>
        <w:t xml:space="preserve">  </w:t>
      </w:r>
    </w:p>
    <w:p w:rsidR="00062116" w:rsidRDefault="00026BB3" w:rsidP="009C601F">
      <w:pPr>
        <w:contextualSpacing/>
        <w:jc w:val="both"/>
        <w:rPr>
          <w:sz w:val="20"/>
          <w:szCs w:val="20"/>
        </w:rPr>
      </w:pPr>
      <w:r>
        <w:rPr>
          <w:sz w:val="20"/>
          <w:szCs w:val="20"/>
        </w:rPr>
        <w:t xml:space="preserve">Medi-Cal Managed Care Plans cover behavioral health services for members who do not qualify for </w:t>
      </w:r>
      <w:r w:rsidRPr="00602806">
        <w:rPr>
          <w:b/>
          <w:sz w:val="20"/>
          <w:szCs w:val="20"/>
        </w:rPr>
        <w:t xml:space="preserve">Specialty Mental Health </w:t>
      </w:r>
      <w:r>
        <w:rPr>
          <w:sz w:val="20"/>
          <w:szCs w:val="20"/>
        </w:rPr>
        <w:t>covered by the County.  Each Medi-</w:t>
      </w:r>
      <w:r w:rsidR="006C632C">
        <w:rPr>
          <w:sz w:val="20"/>
          <w:szCs w:val="20"/>
        </w:rPr>
        <w:t>Cal Managed Care Plan has their</w:t>
      </w:r>
      <w:r w:rsidR="0042327B">
        <w:rPr>
          <w:sz w:val="20"/>
          <w:szCs w:val="20"/>
        </w:rPr>
        <w:t xml:space="preserve"> </w:t>
      </w:r>
      <w:r>
        <w:rPr>
          <w:sz w:val="20"/>
          <w:szCs w:val="20"/>
        </w:rPr>
        <w:t>own network of contracted behavioral health providers.</w:t>
      </w:r>
    </w:p>
    <w:p w:rsidR="00FD5904" w:rsidRDefault="00FD5904" w:rsidP="009C601F">
      <w:pPr>
        <w:contextualSpacing/>
        <w:jc w:val="both"/>
        <w:rPr>
          <w:b/>
          <w:sz w:val="20"/>
          <w:szCs w:val="20"/>
          <w:u w:val="single"/>
        </w:rPr>
      </w:pPr>
      <w:r>
        <w:rPr>
          <w:b/>
          <w:sz w:val="20"/>
          <w:szCs w:val="20"/>
          <w:u w:val="single"/>
        </w:rPr>
        <w:t>Consumer Center for Health Education &amp; Advocacy</w:t>
      </w:r>
    </w:p>
    <w:p w:rsidR="00277BA1" w:rsidRDefault="002148B5" w:rsidP="009C601F">
      <w:pPr>
        <w:contextualSpacing/>
        <w:jc w:val="both"/>
        <w:rPr>
          <w:sz w:val="20"/>
          <w:szCs w:val="20"/>
        </w:rPr>
      </w:pPr>
      <w:r>
        <w:rPr>
          <w:sz w:val="20"/>
          <w:szCs w:val="20"/>
        </w:rPr>
        <w:t>The Consumer Center for Health Education &amp; Advocacy helps beneficiaries understand how to use physical and behavioral health services.  If there is a problem getting necessary care through a managed care plan, members and providers should first contact the plan</w:t>
      </w:r>
      <w:r w:rsidR="0042327B">
        <w:rPr>
          <w:sz w:val="20"/>
          <w:szCs w:val="20"/>
        </w:rPr>
        <w:t>’</w:t>
      </w:r>
      <w:r>
        <w:rPr>
          <w:sz w:val="20"/>
          <w:szCs w:val="20"/>
        </w:rPr>
        <w:t xml:space="preserve">s customer service department.  In most cases, the health plan will resolve the issue.  Occasionally, a plan member may feel his/her needs are not being met and may need a third party to help break down </w:t>
      </w:r>
      <w:r w:rsidR="0042327B">
        <w:rPr>
          <w:sz w:val="20"/>
          <w:szCs w:val="20"/>
        </w:rPr>
        <w:t>a</w:t>
      </w:r>
      <w:r>
        <w:rPr>
          <w:sz w:val="20"/>
          <w:szCs w:val="20"/>
        </w:rPr>
        <w:t xml:space="preserve"> barrier.  The Consumer Center works closely with the health plans to figure out where the barrier is and how to resolve the problem.  The Consumer Center for Health Education &amp; Advocacy number is:  </w:t>
      </w:r>
    </w:p>
    <w:p w:rsidR="008F59F8" w:rsidRDefault="002148B5" w:rsidP="009C601F">
      <w:pPr>
        <w:contextualSpacing/>
        <w:jc w:val="both"/>
        <w:rPr>
          <w:sz w:val="20"/>
          <w:szCs w:val="20"/>
        </w:rPr>
      </w:pPr>
      <w:r>
        <w:rPr>
          <w:sz w:val="20"/>
          <w:szCs w:val="20"/>
        </w:rPr>
        <w:t>(877) 734-3258.</w:t>
      </w:r>
      <w:r w:rsidR="005D6D4F" w:rsidRPr="005D6D4F">
        <w:rPr>
          <w:b/>
          <w:noProof/>
          <w:sz w:val="28"/>
        </w:rPr>
        <w:t xml:space="preserve"> </w:t>
      </w:r>
    </w:p>
    <w:p w:rsidR="008F59F8" w:rsidRDefault="005B4742" w:rsidP="008F59F8">
      <w:pPr>
        <w:contextualSpacing/>
        <w:rPr>
          <w:sz w:val="24"/>
          <w:szCs w:val="24"/>
        </w:rPr>
      </w:pPr>
      <w:r>
        <w:rPr>
          <w:noProof/>
        </w:rPr>
        <w:drawing>
          <wp:anchor distT="0" distB="0" distL="114300" distR="114300" simplePos="0" relativeHeight="251727360" behindDoc="0" locked="0" layoutInCell="1" allowOverlap="1" wp14:anchorId="354F620B" wp14:editId="4171132B">
            <wp:simplePos x="0" y="0"/>
            <wp:positionH relativeFrom="column">
              <wp:posOffset>5305425</wp:posOffset>
            </wp:positionH>
            <wp:positionV relativeFrom="paragraph">
              <wp:posOffset>165100</wp:posOffset>
            </wp:positionV>
            <wp:extent cx="877570" cy="304800"/>
            <wp:effectExtent l="0" t="0" r="0" b="0"/>
            <wp:wrapNone/>
            <wp:docPr id="14" name="Picture 5" descr="OPTUM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descr="OPTUMHealt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7570" cy="304800"/>
                    </a:xfrm>
                    <a:prstGeom prst="rect">
                      <a:avLst/>
                    </a:prstGeom>
                    <a:noFill/>
                    <a:extLst/>
                  </pic:spPr>
                </pic:pic>
              </a:graphicData>
            </a:graphic>
            <wp14:sizeRelH relativeFrom="margin">
              <wp14:pctWidth>0</wp14:pctWidth>
            </wp14:sizeRelH>
            <wp14:sizeRelV relativeFrom="margin">
              <wp14:pctHeight>0</wp14:pctHeight>
            </wp14:sizeRelV>
          </wp:anchor>
        </w:drawing>
      </w:r>
      <w:r w:rsidRPr="00312251">
        <w:rPr>
          <w:rFonts w:ascii="Arial Narrow" w:eastAsiaTheme="minorEastAsia" w:hAnsi="Arial Narrow" w:cs="Arial"/>
          <w:noProof/>
          <w:color w:val="000080"/>
          <w:sz w:val="16"/>
          <w:szCs w:val="16"/>
        </w:rPr>
        <w:drawing>
          <wp:anchor distT="0" distB="0" distL="114300" distR="114300" simplePos="0" relativeHeight="251723264" behindDoc="1" locked="0" layoutInCell="1" allowOverlap="1" wp14:anchorId="0F18730E" wp14:editId="380296EF">
            <wp:simplePos x="0" y="0"/>
            <wp:positionH relativeFrom="column">
              <wp:posOffset>3886200</wp:posOffset>
            </wp:positionH>
            <wp:positionV relativeFrom="paragraph">
              <wp:posOffset>96520</wp:posOffset>
            </wp:positionV>
            <wp:extent cx="895350" cy="403860"/>
            <wp:effectExtent l="0" t="0" r="0" b="0"/>
            <wp:wrapTight wrapText="bothSides">
              <wp:wrapPolygon edited="0">
                <wp:start x="0" y="0"/>
                <wp:lineTo x="0" y="20377"/>
                <wp:lineTo x="21140" y="20377"/>
                <wp:lineTo x="21140" y="0"/>
                <wp:lineTo x="0" y="0"/>
              </wp:wrapPolygon>
            </wp:wrapTight>
            <wp:docPr id="12" name="Picture 115" descr="mo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molina"/>
                    <pic:cNvPicPr>
                      <a:picLocks noChangeAspect="1" noChangeArrowheads="1"/>
                    </pic:cNvPicPr>
                  </pic:nvPicPr>
                  <pic:blipFill>
                    <a:blip r:embed="rId9" cstate="print"/>
                    <a:srcRect/>
                    <a:stretch>
                      <a:fillRect/>
                    </a:stretch>
                  </pic:blipFill>
                  <pic:spPr bwMode="auto">
                    <a:xfrm>
                      <a:off x="0" y="0"/>
                      <a:ext cx="895350" cy="4038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12251">
        <w:rPr>
          <w:rFonts w:ascii="Arial Narrow" w:eastAsiaTheme="minorEastAsia" w:hAnsi="Arial Narrow" w:cstheme="minorBidi"/>
          <w:noProof/>
          <w:color w:val="000080"/>
          <w:sz w:val="16"/>
          <w:szCs w:val="14"/>
        </w:rPr>
        <w:drawing>
          <wp:anchor distT="0" distB="0" distL="114300" distR="114300" simplePos="0" relativeHeight="251721216" behindDoc="1" locked="0" layoutInCell="1" allowOverlap="1" wp14:anchorId="31F61F92" wp14:editId="4A260479">
            <wp:simplePos x="0" y="0"/>
            <wp:positionH relativeFrom="margin">
              <wp:align>center</wp:align>
            </wp:positionH>
            <wp:positionV relativeFrom="paragraph">
              <wp:posOffset>134620</wp:posOffset>
            </wp:positionV>
            <wp:extent cx="904875" cy="335280"/>
            <wp:effectExtent l="0" t="0" r="9525" b="7620"/>
            <wp:wrapTight wrapText="bothSides">
              <wp:wrapPolygon edited="0">
                <wp:start x="0" y="0"/>
                <wp:lineTo x="0" y="20864"/>
                <wp:lineTo x="21373" y="20864"/>
                <wp:lineTo x="21373" y="0"/>
                <wp:lineTo x="0" y="0"/>
              </wp:wrapPolygon>
            </wp:wrapTight>
            <wp:docPr id="11" name="Picture 114" descr="kai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kaiser"/>
                    <pic:cNvPicPr>
                      <a:picLocks noChangeAspect="1" noChangeArrowheads="1"/>
                    </pic:cNvPicPr>
                  </pic:nvPicPr>
                  <pic:blipFill>
                    <a:blip r:embed="rId10" cstate="print"/>
                    <a:srcRect/>
                    <a:stretch>
                      <a:fillRect/>
                    </a:stretch>
                  </pic:blipFill>
                  <pic:spPr bwMode="auto">
                    <a:xfrm>
                      <a:off x="0" y="0"/>
                      <a:ext cx="904875" cy="3352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12251">
        <w:rPr>
          <w:rFonts w:ascii="Arial Narrow" w:eastAsia="Times New Roman" w:hAnsi="Arial Narrow" w:cs="Arial"/>
          <w:noProof/>
          <w:color w:val="000080"/>
          <w:sz w:val="16"/>
          <w:szCs w:val="16"/>
        </w:rPr>
        <w:drawing>
          <wp:anchor distT="0" distB="0" distL="114300" distR="114300" simplePos="0" relativeHeight="251717120" behindDoc="0" locked="0" layoutInCell="1" allowOverlap="1" wp14:anchorId="5665272A" wp14:editId="019C5605">
            <wp:simplePos x="0" y="0"/>
            <wp:positionH relativeFrom="column">
              <wp:posOffset>1304925</wp:posOffset>
            </wp:positionH>
            <wp:positionV relativeFrom="paragraph">
              <wp:posOffset>134620</wp:posOffset>
            </wp:positionV>
            <wp:extent cx="876300" cy="308610"/>
            <wp:effectExtent l="0" t="0" r="0" b="0"/>
            <wp:wrapSquare wrapText="bothSides"/>
            <wp:docPr id="9" name="Picture 112" descr="c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hg"/>
                    <pic:cNvPicPr>
                      <a:picLocks noChangeAspect="1" noChangeArrowheads="1"/>
                    </pic:cNvPicPr>
                  </pic:nvPicPr>
                  <pic:blipFill>
                    <a:blip r:embed="rId11" cstate="print"/>
                    <a:srcRect/>
                    <a:stretch>
                      <a:fillRect/>
                    </a:stretch>
                  </pic:blipFill>
                  <pic:spPr bwMode="auto">
                    <a:xfrm>
                      <a:off x="0" y="0"/>
                      <a:ext cx="876300" cy="3086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3504" behindDoc="1" locked="0" layoutInCell="1" allowOverlap="1" wp14:anchorId="3EE9BCAF" wp14:editId="27F850E1">
            <wp:simplePos x="0" y="0"/>
            <wp:positionH relativeFrom="margin">
              <wp:align>left</wp:align>
            </wp:positionH>
            <wp:positionV relativeFrom="paragraph">
              <wp:posOffset>153670</wp:posOffset>
            </wp:positionV>
            <wp:extent cx="847725" cy="304800"/>
            <wp:effectExtent l="0" t="0" r="0" b="0"/>
            <wp:wrapTight wrapText="bothSides">
              <wp:wrapPolygon edited="0">
                <wp:start x="0" y="0"/>
                <wp:lineTo x="0" y="20250"/>
                <wp:lineTo x="971" y="20250"/>
                <wp:lineTo x="19416" y="20250"/>
                <wp:lineTo x="20387" y="20250"/>
                <wp:lineTo x="2087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SCPHP_Primary_FullColo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7725" cy="304800"/>
                    </a:xfrm>
                    <a:prstGeom prst="rect">
                      <a:avLst/>
                    </a:prstGeom>
                  </pic:spPr>
                </pic:pic>
              </a:graphicData>
            </a:graphic>
            <wp14:sizeRelH relativeFrom="page">
              <wp14:pctWidth>0</wp14:pctWidth>
            </wp14:sizeRelH>
            <wp14:sizeRelV relativeFrom="page">
              <wp14:pctHeight>0</wp14:pctHeight>
            </wp14:sizeRelV>
          </wp:anchor>
        </w:drawing>
      </w:r>
      <w:r w:rsidR="008D45B1">
        <w:rPr>
          <w:noProof/>
          <w:sz w:val="20"/>
          <w:szCs w:val="20"/>
        </w:rPr>
        <mc:AlternateContent>
          <mc:Choice Requires="wps">
            <w:drawing>
              <wp:anchor distT="0" distB="0" distL="114300" distR="114300" simplePos="0" relativeHeight="251662336" behindDoc="0" locked="0" layoutInCell="1" allowOverlap="1" wp14:anchorId="63C45BAA" wp14:editId="7EFD6451">
                <wp:simplePos x="0" y="0"/>
                <wp:positionH relativeFrom="column">
                  <wp:posOffset>-2854325</wp:posOffset>
                </wp:positionH>
                <wp:positionV relativeFrom="paragraph">
                  <wp:posOffset>741680</wp:posOffset>
                </wp:positionV>
                <wp:extent cx="532765" cy="192405"/>
                <wp:effectExtent l="0" t="0" r="19685" b="17145"/>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92405"/>
                        </a:xfrm>
                        <a:prstGeom prst="rect">
                          <a:avLst/>
                        </a:prstGeom>
                        <a:solidFill>
                          <a:srgbClr val="FFFFFF"/>
                        </a:solidFill>
                        <a:ln w="9525">
                          <a:solidFill>
                            <a:schemeClr val="bg1">
                              <a:lumMod val="100000"/>
                              <a:lumOff val="0"/>
                            </a:schemeClr>
                          </a:solidFill>
                          <a:miter lim="800000"/>
                          <a:headEnd/>
                          <a:tailEnd/>
                        </a:ln>
                      </wps:spPr>
                      <wps:txbx>
                        <w:txbxContent>
                          <w:p w:rsidR="00312251" w:rsidRPr="00B3759F" w:rsidRDefault="00B2181A">
                            <w:pPr>
                              <w:rPr>
                                <w:sz w:val="14"/>
                              </w:rPr>
                            </w:pPr>
                            <w:r>
                              <w:rPr>
                                <w:sz w:val="14"/>
                              </w:rPr>
                              <w:t>6-21-16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C45BAA" id="_x0000_t202" coordsize="21600,21600" o:spt="202" path="m,l,21600r21600,l21600,xe">
                <v:stroke joinstyle="miter"/>
                <v:path gradientshapeok="t" o:connecttype="rect"/>
              </v:shapetype>
              <v:shape id="Text Box 2" o:spid="_x0000_s1026" type="#_x0000_t202" style="position:absolute;margin-left:-224.75pt;margin-top:58.4pt;width:41.95pt;height:1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" strokecolor="white [3212]">
                <v:textbox>
                  <w:txbxContent>
                    <w:p w:rsidR="00312251" w:rsidRPr="00B3759F" w:rsidRDefault="00B2181A">
                      <w:pPr>
                        <w:rPr>
                          <w:sz w:val="14"/>
                        </w:rPr>
                      </w:pPr>
                      <w:r>
                        <w:rPr>
                          <w:sz w:val="14"/>
                        </w:rPr>
                        <w:t>6-21-16</w:t>
                      </w:r>
                    </w:p>
                  </w:txbxContent>
                </v:textbox>
              </v:shape>
            </w:pict>
          </mc:Fallback>
        </mc:AlternateContent>
      </w:r>
      <w:r w:rsidR="00043BA1">
        <w:rPr>
          <w:sz w:val="20"/>
          <w:szCs w:val="20"/>
        </w:rPr>
        <w:br w:type="page"/>
      </w:r>
    </w:p>
    <w:p w:rsidR="008F59F8" w:rsidRDefault="002D3A8B">
      <w:pPr>
        <w:spacing w:after="0" w:line="240" w:lineRule="auto"/>
        <w:rPr>
          <w:sz w:val="20"/>
          <w:szCs w:val="20"/>
        </w:rPr>
      </w:pPr>
      <w:r w:rsidRPr="00312251">
        <w:rPr>
          <w:b/>
          <w:noProof/>
          <w:sz w:val="28"/>
          <w:szCs w:val="28"/>
        </w:rPr>
        <w:lastRenderedPageBreak/>
        <w:drawing>
          <wp:anchor distT="0" distB="0" distL="114300" distR="114300" simplePos="0" relativeHeight="251676672" behindDoc="0" locked="0" layoutInCell="1" allowOverlap="1" wp14:anchorId="6480894F" wp14:editId="32207DC8">
            <wp:simplePos x="0" y="0"/>
            <wp:positionH relativeFrom="column">
              <wp:posOffset>5378950</wp:posOffset>
            </wp:positionH>
            <wp:positionV relativeFrom="paragraph">
              <wp:posOffset>88508</wp:posOffset>
            </wp:positionV>
            <wp:extent cx="771525" cy="771525"/>
            <wp:effectExtent l="0" t="0" r="9525" b="9525"/>
            <wp:wrapNone/>
            <wp:docPr id="3" name="Picture 9" descr="C:\Users\ddahdouh\Desktop\Logos and Templates\HealthySanDie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dahdouh\Desktop\Logos and Templates\HealthySanDie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anchor>
        </w:drawing>
      </w:r>
      <w:r>
        <w:rPr>
          <w:noProof/>
        </w:rPr>
        <w:drawing>
          <wp:anchor distT="0" distB="0" distL="114300" distR="114300" simplePos="0" relativeHeight="251731456" behindDoc="1" locked="0" layoutInCell="1" allowOverlap="1" wp14:anchorId="1296F574" wp14:editId="445330EB">
            <wp:simplePos x="0" y="0"/>
            <wp:positionH relativeFrom="column">
              <wp:posOffset>-606068</wp:posOffset>
            </wp:positionH>
            <wp:positionV relativeFrom="paragraph">
              <wp:posOffset>91440</wp:posOffset>
            </wp:positionV>
            <wp:extent cx="2162175" cy="609600"/>
            <wp:effectExtent l="0" t="0" r="9525" b="0"/>
            <wp:wrapThrough wrapText="bothSides">
              <wp:wrapPolygon edited="0">
                <wp:start x="0" y="0"/>
                <wp:lineTo x="0" y="20925"/>
                <wp:lineTo x="21505" y="20925"/>
                <wp:lineTo x="21505" y="0"/>
                <wp:lineTo x="0" y="0"/>
              </wp:wrapPolygon>
            </wp:wrapThrough>
            <wp:docPr id="1" name="Picture 1" descr="http://insite.sdcounty.ca.gov/hhsa/PublishingImages/LWSD_PARTNER_PAIR_HH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site.sdcounty.ca.gov/hhsa/PublishingImages/LWSD_PARTNER_PAIR_HHSA.jpg"/>
                    <pic:cNvPicPr>
                      <a:picLocks noChangeAspect="1" noChangeArrowheads="1"/>
                    </pic:cNvPicPr>
                  </pic:nvPicPr>
                  <pic:blipFill>
                    <a:blip r:embed="rId14"/>
                    <a:srcRect/>
                    <a:stretch>
                      <a:fillRect/>
                    </a:stretch>
                  </pic:blipFill>
                  <pic:spPr bwMode="auto">
                    <a:xfrm>
                      <a:off x="0" y="0"/>
                      <a:ext cx="2162175" cy="609600"/>
                    </a:xfrm>
                    <a:prstGeom prst="rect">
                      <a:avLst/>
                    </a:prstGeom>
                    <a:noFill/>
                    <a:ln w="9525">
                      <a:noFill/>
                      <a:miter lim="800000"/>
                      <a:headEnd/>
                      <a:tailEnd/>
                    </a:ln>
                  </pic:spPr>
                </pic:pic>
              </a:graphicData>
            </a:graphic>
          </wp:anchor>
        </w:drawing>
      </w:r>
    </w:p>
    <w:p w:rsidR="00821E4E" w:rsidRDefault="00821E4E" w:rsidP="00134C16">
      <w:pPr>
        <w:contextualSpacing/>
        <w:rPr>
          <w:sz w:val="20"/>
          <w:szCs w:val="20"/>
        </w:rPr>
      </w:pPr>
    </w:p>
    <w:p w:rsidR="00312251" w:rsidRPr="00312251" w:rsidRDefault="002D3A8B" w:rsidP="002D3A8B">
      <w:pPr>
        <w:spacing w:after="0"/>
        <w:rPr>
          <w:b/>
          <w:sz w:val="28"/>
          <w:szCs w:val="28"/>
        </w:rPr>
      </w:pPr>
      <w:r>
        <w:rPr>
          <w:b/>
          <w:sz w:val="28"/>
          <w:szCs w:val="28"/>
        </w:rPr>
        <w:t xml:space="preserve">             </w:t>
      </w:r>
    </w:p>
    <w:p w:rsidR="00797C51" w:rsidRPr="00797C51" w:rsidRDefault="00797C51" w:rsidP="00797C51">
      <w:pPr>
        <w:rPr>
          <w:b/>
          <w:sz w:val="4"/>
          <w:szCs w:val="40"/>
        </w:rPr>
      </w:pPr>
      <w:r>
        <w:rPr>
          <w:b/>
          <w:sz w:val="28"/>
          <w:szCs w:val="28"/>
        </w:rPr>
        <w:t xml:space="preserve">      Voluntary Inpatient Detox (VID)</w:t>
      </w:r>
    </w:p>
    <w:tbl>
      <w:tblPr>
        <w:tblpPr w:leftFromText="180" w:rightFromText="180" w:vertAnchor="text" w:tblpX="-910" w:tblpY="1"/>
        <w:tblOverlap w:val="neve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8"/>
        <w:gridCol w:w="7082"/>
      </w:tblGrid>
      <w:tr w:rsidR="00797C51" w:rsidRPr="007331DF" w:rsidTr="00833630">
        <w:trPr>
          <w:trHeight w:val="404"/>
        </w:trPr>
        <w:tc>
          <w:tcPr>
            <w:tcW w:w="4078" w:type="dxa"/>
            <w:shd w:val="clear" w:color="auto" w:fill="FFFF00"/>
            <w:vAlign w:val="center"/>
          </w:tcPr>
          <w:p w:rsidR="00797C51" w:rsidRPr="007A0E3A" w:rsidRDefault="00797C51" w:rsidP="00833630">
            <w:pPr>
              <w:spacing w:after="0" w:line="240" w:lineRule="auto"/>
              <w:jc w:val="center"/>
              <w:rPr>
                <w:b/>
                <w:sz w:val="24"/>
                <w:szCs w:val="20"/>
              </w:rPr>
            </w:pPr>
            <w:r>
              <w:rPr>
                <w:b/>
                <w:sz w:val="24"/>
                <w:szCs w:val="20"/>
              </w:rPr>
              <w:t>Benefit/Authorization Process</w:t>
            </w:r>
          </w:p>
        </w:tc>
        <w:tc>
          <w:tcPr>
            <w:tcW w:w="7082" w:type="dxa"/>
            <w:shd w:val="clear" w:color="auto" w:fill="FFFF00"/>
            <w:vAlign w:val="center"/>
          </w:tcPr>
          <w:p w:rsidR="00797C51" w:rsidRPr="007A0E3A" w:rsidRDefault="00797C51" w:rsidP="00833630">
            <w:pPr>
              <w:tabs>
                <w:tab w:val="left" w:pos="3942"/>
              </w:tabs>
              <w:spacing w:after="0" w:line="240" w:lineRule="auto"/>
              <w:jc w:val="center"/>
              <w:rPr>
                <w:b/>
                <w:sz w:val="24"/>
                <w:szCs w:val="20"/>
                <w:vertAlign w:val="superscript"/>
              </w:rPr>
            </w:pPr>
            <w:r w:rsidRPr="000A017C">
              <w:rPr>
                <w:b/>
                <w:sz w:val="24"/>
                <w:szCs w:val="20"/>
              </w:rPr>
              <w:t>Eligibility</w:t>
            </w:r>
            <w:r>
              <w:rPr>
                <w:b/>
                <w:sz w:val="24"/>
                <w:szCs w:val="20"/>
                <w:vertAlign w:val="superscript"/>
              </w:rPr>
              <w:t xml:space="preserve"> </w:t>
            </w:r>
          </w:p>
        </w:tc>
      </w:tr>
      <w:tr w:rsidR="00797C51" w:rsidRPr="007331DF" w:rsidTr="00833630">
        <w:trPr>
          <w:trHeight w:val="11543"/>
        </w:trPr>
        <w:tc>
          <w:tcPr>
            <w:tcW w:w="4078" w:type="dxa"/>
          </w:tcPr>
          <w:p w:rsidR="00DC280B" w:rsidRDefault="00797C51" w:rsidP="00833630">
            <w:pPr>
              <w:spacing w:after="0" w:line="240" w:lineRule="auto"/>
              <w:rPr>
                <w:rFonts w:asciiTheme="minorHAnsi" w:hAnsiTheme="minorHAnsi"/>
                <w:szCs w:val="23"/>
              </w:rPr>
            </w:pPr>
            <w:r>
              <w:rPr>
                <w:rFonts w:asciiTheme="minorHAnsi" w:hAnsiTheme="minorHAnsi"/>
                <w:szCs w:val="23"/>
              </w:rPr>
              <w:t>Medi-Cal b</w:t>
            </w:r>
            <w:r w:rsidRPr="009A4F48">
              <w:rPr>
                <w:rFonts w:asciiTheme="minorHAnsi" w:hAnsiTheme="minorHAnsi"/>
                <w:szCs w:val="23"/>
              </w:rPr>
              <w:t>eneficiaries</w:t>
            </w:r>
            <w:r>
              <w:rPr>
                <w:rFonts w:asciiTheme="minorHAnsi" w:hAnsiTheme="minorHAnsi"/>
                <w:szCs w:val="23"/>
              </w:rPr>
              <w:t>, including those on a Medi-Cal Managed Care Plan</w:t>
            </w:r>
            <w:r w:rsidRPr="009A4F48">
              <w:rPr>
                <w:rFonts w:asciiTheme="minorHAnsi" w:hAnsiTheme="minorHAnsi"/>
                <w:szCs w:val="23"/>
              </w:rPr>
              <w:t xml:space="preserve"> who meet medical necessity criteria may receive voluntary inpatient detoxification (VID) services in a general acute care hospital.</w:t>
            </w:r>
            <w:r>
              <w:rPr>
                <w:rFonts w:asciiTheme="minorHAnsi" w:hAnsiTheme="minorHAnsi"/>
                <w:szCs w:val="23"/>
              </w:rPr>
              <w:t xml:space="preserve">  </w:t>
            </w:r>
          </w:p>
          <w:p w:rsidR="00DC280B" w:rsidRDefault="00DC280B" w:rsidP="00833630">
            <w:pPr>
              <w:spacing w:after="0" w:line="240" w:lineRule="auto"/>
              <w:rPr>
                <w:rFonts w:asciiTheme="minorHAnsi" w:hAnsiTheme="minorHAnsi"/>
                <w:szCs w:val="23"/>
              </w:rPr>
            </w:pPr>
          </w:p>
          <w:p w:rsidR="00797C51" w:rsidRPr="00DC280B" w:rsidRDefault="00797C51" w:rsidP="00833630">
            <w:pPr>
              <w:spacing w:after="0" w:line="240" w:lineRule="auto"/>
              <w:rPr>
                <w:rFonts w:asciiTheme="minorHAnsi" w:hAnsiTheme="minorHAnsi"/>
                <w:b/>
                <w:i/>
                <w:szCs w:val="23"/>
              </w:rPr>
            </w:pPr>
            <w:r w:rsidRPr="00DC280B">
              <w:rPr>
                <w:rFonts w:asciiTheme="minorHAnsi" w:hAnsiTheme="minorHAnsi"/>
                <w:b/>
                <w:i/>
                <w:szCs w:val="23"/>
              </w:rPr>
              <w:t xml:space="preserve">These services are covered by the Department of Health Care Services (Medi-Cal Fee for Service).  </w:t>
            </w:r>
          </w:p>
          <w:p w:rsidR="00797C51" w:rsidRPr="009A4F48" w:rsidRDefault="00797C51" w:rsidP="00833630">
            <w:pPr>
              <w:spacing w:after="0" w:line="240" w:lineRule="auto"/>
              <w:rPr>
                <w:rFonts w:asciiTheme="minorHAnsi" w:hAnsiTheme="minorHAnsi"/>
                <w:szCs w:val="23"/>
              </w:rPr>
            </w:pPr>
          </w:p>
          <w:p w:rsidR="00797C51" w:rsidRPr="009A4F48" w:rsidRDefault="00797C51" w:rsidP="00833630">
            <w:pPr>
              <w:spacing w:after="0" w:line="240" w:lineRule="auto"/>
              <w:jc w:val="center"/>
              <w:rPr>
                <w:rFonts w:asciiTheme="minorHAnsi" w:hAnsiTheme="minorHAnsi"/>
                <w:b/>
                <w:i/>
                <w:szCs w:val="32"/>
                <w:u w:val="single"/>
              </w:rPr>
            </w:pPr>
            <w:r w:rsidRPr="009A4F48">
              <w:rPr>
                <w:rFonts w:asciiTheme="minorHAnsi" w:hAnsiTheme="minorHAnsi"/>
                <w:b/>
                <w:i/>
                <w:szCs w:val="32"/>
                <w:u w:val="single"/>
              </w:rPr>
              <w:t>Exclusion</w:t>
            </w:r>
          </w:p>
          <w:p w:rsidR="00797C51" w:rsidRPr="009A4F48" w:rsidRDefault="00797C51" w:rsidP="00833630">
            <w:pPr>
              <w:spacing w:after="0" w:line="240" w:lineRule="auto"/>
              <w:jc w:val="center"/>
              <w:rPr>
                <w:rFonts w:asciiTheme="minorHAnsi" w:hAnsiTheme="minorHAnsi"/>
                <w:b/>
                <w:i/>
                <w:szCs w:val="32"/>
                <w:u w:val="single"/>
              </w:rPr>
            </w:pPr>
          </w:p>
          <w:p w:rsidR="00797C51" w:rsidRPr="009A4F48" w:rsidRDefault="00797C51" w:rsidP="00833630">
            <w:pPr>
              <w:spacing w:after="0" w:line="240" w:lineRule="auto"/>
              <w:rPr>
                <w:rFonts w:asciiTheme="minorHAnsi" w:hAnsiTheme="minorHAnsi"/>
                <w:szCs w:val="23"/>
              </w:rPr>
            </w:pPr>
            <w:r w:rsidRPr="009A4F48">
              <w:rPr>
                <w:rFonts w:asciiTheme="minorHAnsi" w:hAnsiTheme="minorHAnsi"/>
                <w:szCs w:val="23"/>
              </w:rPr>
              <w:t>Detoxification of cannabinoids, stimulants, or hallucinogens alone does not require inpatient level of medical intervention; however, multiple substance abuse with components of alcohol, opiates, or sedatives may be considered for inpatient admission.</w:t>
            </w:r>
          </w:p>
          <w:p w:rsidR="00797C51" w:rsidRPr="009A4F48" w:rsidRDefault="00797C51" w:rsidP="00833630">
            <w:pPr>
              <w:autoSpaceDE w:val="0"/>
              <w:autoSpaceDN w:val="0"/>
              <w:adjustRightInd w:val="0"/>
              <w:spacing w:after="0" w:line="240" w:lineRule="auto"/>
              <w:rPr>
                <w:rFonts w:asciiTheme="minorHAnsi" w:hAnsiTheme="minorHAnsi" w:cs="Arial"/>
                <w:color w:val="000000"/>
                <w:szCs w:val="23"/>
              </w:rPr>
            </w:pPr>
          </w:p>
          <w:p w:rsidR="00797C51" w:rsidRPr="00173D62" w:rsidRDefault="00797C51" w:rsidP="00833630">
            <w:pPr>
              <w:autoSpaceDE w:val="0"/>
              <w:autoSpaceDN w:val="0"/>
              <w:adjustRightInd w:val="0"/>
              <w:spacing w:after="0" w:line="240" w:lineRule="auto"/>
              <w:jc w:val="center"/>
              <w:rPr>
                <w:rFonts w:asciiTheme="minorHAnsi" w:hAnsiTheme="minorHAnsi" w:cs="Arial"/>
                <w:b/>
                <w:i/>
                <w:color w:val="000000"/>
                <w:szCs w:val="32"/>
                <w:u w:val="single"/>
              </w:rPr>
            </w:pPr>
            <w:r w:rsidRPr="009A4F48">
              <w:rPr>
                <w:rFonts w:asciiTheme="minorHAnsi" w:hAnsiTheme="minorHAnsi" w:cs="Arial"/>
                <w:b/>
                <w:i/>
                <w:color w:val="000000"/>
                <w:szCs w:val="32"/>
                <w:u w:val="single"/>
              </w:rPr>
              <w:t>How to access care</w:t>
            </w:r>
          </w:p>
          <w:p w:rsidR="00797C51" w:rsidRPr="009A4F48" w:rsidRDefault="00797C51" w:rsidP="00833630">
            <w:pPr>
              <w:spacing w:after="0" w:line="240" w:lineRule="auto"/>
              <w:rPr>
                <w:rFonts w:asciiTheme="minorHAnsi" w:hAnsiTheme="minorHAnsi"/>
                <w:szCs w:val="23"/>
              </w:rPr>
            </w:pPr>
            <w:r>
              <w:rPr>
                <w:rFonts w:asciiTheme="minorHAnsi" w:hAnsiTheme="minorHAnsi"/>
                <w:szCs w:val="23"/>
              </w:rPr>
              <w:t xml:space="preserve">    </w:t>
            </w:r>
          </w:p>
          <w:p w:rsidR="00797C51" w:rsidRDefault="00797C51" w:rsidP="00833630">
            <w:pPr>
              <w:spacing w:after="0" w:line="240" w:lineRule="auto"/>
              <w:rPr>
                <w:rFonts w:asciiTheme="minorHAnsi" w:hAnsiTheme="minorHAnsi"/>
                <w:szCs w:val="23"/>
              </w:rPr>
            </w:pPr>
            <w:r w:rsidRPr="009A4F48">
              <w:rPr>
                <w:rFonts w:asciiTheme="minorHAnsi" w:hAnsiTheme="minorHAnsi"/>
                <w:szCs w:val="23"/>
              </w:rPr>
              <w:t xml:space="preserve">To receive these services, the </w:t>
            </w:r>
            <w:r w:rsidR="00833630">
              <w:rPr>
                <w:rFonts w:asciiTheme="minorHAnsi" w:hAnsiTheme="minorHAnsi"/>
                <w:szCs w:val="23"/>
              </w:rPr>
              <w:t xml:space="preserve">Medi-Cal beneficiary must be referred </w:t>
            </w:r>
            <w:r w:rsidRPr="009A4F48">
              <w:rPr>
                <w:rFonts w:asciiTheme="minorHAnsi" w:hAnsiTheme="minorHAnsi"/>
                <w:szCs w:val="23"/>
              </w:rPr>
              <w:t xml:space="preserve">to a VID provider in a general acute care hospital. The VID facility </w:t>
            </w:r>
            <w:r w:rsidR="00833630">
              <w:rPr>
                <w:rFonts w:asciiTheme="minorHAnsi" w:hAnsiTheme="minorHAnsi"/>
                <w:szCs w:val="23"/>
              </w:rPr>
              <w:t>can</w:t>
            </w:r>
            <w:r w:rsidR="00833630" w:rsidRPr="009A4F48">
              <w:rPr>
                <w:rFonts w:asciiTheme="minorHAnsi" w:hAnsiTheme="minorHAnsi"/>
                <w:szCs w:val="23"/>
              </w:rPr>
              <w:t>not</w:t>
            </w:r>
            <w:r w:rsidRPr="009A4F48">
              <w:rPr>
                <w:rFonts w:asciiTheme="minorHAnsi" w:hAnsiTheme="minorHAnsi"/>
                <w:szCs w:val="23"/>
              </w:rPr>
              <w:t xml:space="preserve"> be a Chemical Dependency Treatment Facility or Institution for Mental Disease. The VID provider must submit a Treatment Authorization Request (TAR) to local field offices for approval</w:t>
            </w:r>
            <w:r>
              <w:rPr>
                <w:rFonts w:asciiTheme="minorHAnsi" w:hAnsiTheme="minorHAnsi"/>
                <w:szCs w:val="23"/>
              </w:rPr>
              <w:t xml:space="preserve"> </w:t>
            </w:r>
            <w:r w:rsidRPr="00AD5523">
              <w:rPr>
                <w:rFonts w:asciiTheme="minorHAnsi" w:hAnsiTheme="minorHAnsi"/>
                <w:b/>
                <w:szCs w:val="23"/>
              </w:rPr>
              <w:t>(888) 724-730</w:t>
            </w:r>
            <w:r>
              <w:rPr>
                <w:rFonts w:asciiTheme="minorHAnsi" w:hAnsiTheme="minorHAnsi"/>
                <w:b/>
                <w:szCs w:val="23"/>
              </w:rPr>
              <w:t>2</w:t>
            </w:r>
            <w:r w:rsidRPr="009A4F48">
              <w:rPr>
                <w:rFonts w:asciiTheme="minorHAnsi" w:hAnsiTheme="minorHAnsi"/>
                <w:szCs w:val="23"/>
              </w:rPr>
              <w:t>. The MCP must provide care coordination with the VID provider as needed. Additional documents submitted with the TAR should verify that the beneficiary’s condition satisfies admissions criteria and demonstrates the medical necessity for the inpatient stay.</w:t>
            </w:r>
          </w:p>
          <w:p w:rsidR="00797C51" w:rsidRDefault="00797C51" w:rsidP="00833630">
            <w:pPr>
              <w:spacing w:after="0" w:line="240" w:lineRule="auto"/>
              <w:rPr>
                <w:rFonts w:asciiTheme="minorHAnsi" w:hAnsiTheme="minorHAnsi"/>
                <w:szCs w:val="23"/>
              </w:rPr>
            </w:pPr>
          </w:p>
          <w:p w:rsidR="00797C51" w:rsidRPr="009A4F48" w:rsidRDefault="00797C51" w:rsidP="00833630">
            <w:pPr>
              <w:spacing w:after="0" w:line="240" w:lineRule="auto"/>
              <w:rPr>
                <w:rFonts w:asciiTheme="minorHAnsi" w:hAnsiTheme="minorHAnsi"/>
                <w:szCs w:val="23"/>
              </w:rPr>
            </w:pPr>
            <w:r w:rsidRPr="009A4F48">
              <w:rPr>
                <w:rFonts w:asciiTheme="minorHAnsi" w:hAnsiTheme="minorHAnsi" w:cs="Arial"/>
                <w:color w:val="000000"/>
                <w:szCs w:val="23"/>
              </w:rPr>
              <w:t xml:space="preserve">Call any general acute care medical hospital to inquire how </w:t>
            </w:r>
            <w:r w:rsidRPr="000957D7">
              <w:rPr>
                <w:rFonts w:asciiTheme="minorHAnsi" w:hAnsiTheme="minorHAnsi"/>
                <w:szCs w:val="23"/>
              </w:rPr>
              <w:t>to</w:t>
            </w:r>
            <w:r w:rsidRPr="009A4F48">
              <w:rPr>
                <w:rFonts w:asciiTheme="minorHAnsi" w:hAnsiTheme="minorHAnsi" w:cs="Arial"/>
                <w:color w:val="000000"/>
                <w:szCs w:val="23"/>
              </w:rPr>
              <w:t xml:space="preserve"> access care in their particular facility</w:t>
            </w:r>
            <w:r w:rsidR="00AF20EF">
              <w:rPr>
                <w:rFonts w:asciiTheme="minorHAnsi" w:hAnsiTheme="minorHAnsi" w:cs="Arial"/>
                <w:color w:val="000000"/>
                <w:szCs w:val="23"/>
              </w:rPr>
              <w:t>.</w:t>
            </w:r>
          </w:p>
        </w:tc>
        <w:tc>
          <w:tcPr>
            <w:tcW w:w="7082" w:type="dxa"/>
            <w:vAlign w:val="center"/>
          </w:tcPr>
          <w:p w:rsidR="00797C51" w:rsidRPr="003425E4" w:rsidRDefault="00797C51" w:rsidP="00833630">
            <w:pPr>
              <w:pStyle w:val="Default"/>
              <w:rPr>
                <w:rFonts w:asciiTheme="minorHAnsi" w:hAnsiTheme="minorHAnsi"/>
                <w:sz w:val="22"/>
                <w:szCs w:val="22"/>
              </w:rPr>
            </w:pPr>
            <w:r w:rsidRPr="003425E4">
              <w:rPr>
                <w:rFonts w:asciiTheme="minorHAnsi" w:hAnsiTheme="minorHAnsi"/>
                <w:sz w:val="22"/>
                <w:szCs w:val="22"/>
              </w:rPr>
              <w:t>Medical criteria for inpatient admission for voluntary inpatient detoxification must include one or more of the following:</w:t>
            </w:r>
          </w:p>
          <w:p w:rsidR="00797C51" w:rsidRPr="003425E4" w:rsidRDefault="00797C51" w:rsidP="00833630">
            <w:pPr>
              <w:pStyle w:val="Default"/>
              <w:rPr>
                <w:rFonts w:asciiTheme="minorHAnsi" w:hAnsiTheme="minorHAnsi"/>
                <w:sz w:val="22"/>
                <w:szCs w:val="22"/>
              </w:rPr>
            </w:pPr>
          </w:p>
          <w:p w:rsidR="00797C51" w:rsidRPr="003425E4" w:rsidRDefault="00797C51" w:rsidP="00833630">
            <w:pPr>
              <w:pStyle w:val="Default"/>
              <w:rPr>
                <w:rFonts w:asciiTheme="minorHAnsi" w:hAnsiTheme="minorHAnsi"/>
                <w:sz w:val="22"/>
                <w:szCs w:val="22"/>
              </w:rPr>
            </w:pPr>
            <w:r w:rsidRPr="003425E4">
              <w:rPr>
                <w:rFonts w:asciiTheme="minorHAnsi" w:hAnsiTheme="minorHAnsi"/>
                <w:b/>
                <w:sz w:val="22"/>
                <w:szCs w:val="22"/>
                <w:u w:val="single"/>
              </w:rPr>
              <w:t>1.</w:t>
            </w:r>
            <w:r w:rsidRPr="003425E4">
              <w:rPr>
                <w:rFonts w:asciiTheme="minorHAnsi" w:hAnsiTheme="minorHAnsi"/>
                <w:sz w:val="22"/>
                <w:szCs w:val="22"/>
              </w:rPr>
              <w:t xml:space="preserve"> Delirium tremens, with any combination of the following clinical    manifestations with cessation or reduced intake of alcohol/sedative: </w:t>
            </w:r>
          </w:p>
          <w:p w:rsidR="00797C51" w:rsidRPr="003425E4" w:rsidRDefault="00797C51" w:rsidP="00833630">
            <w:pPr>
              <w:pStyle w:val="Default"/>
              <w:rPr>
                <w:rFonts w:asciiTheme="minorHAnsi" w:hAnsiTheme="minorHAnsi"/>
                <w:sz w:val="22"/>
                <w:szCs w:val="22"/>
              </w:rPr>
            </w:pPr>
          </w:p>
          <w:p w:rsidR="00797C51" w:rsidRPr="003425E4" w:rsidRDefault="00797C51" w:rsidP="00833630">
            <w:pPr>
              <w:pStyle w:val="Default"/>
              <w:rPr>
                <w:rFonts w:asciiTheme="minorHAnsi" w:hAnsiTheme="minorHAnsi"/>
                <w:sz w:val="22"/>
                <w:szCs w:val="22"/>
              </w:rPr>
            </w:pPr>
            <w:r w:rsidRPr="003425E4">
              <w:rPr>
                <w:rFonts w:asciiTheme="minorHAnsi" w:hAnsiTheme="minorHAnsi" w:cs="Courier New"/>
                <w:sz w:val="22"/>
                <w:szCs w:val="22"/>
              </w:rPr>
              <w:t xml:space="preserve">                                o</w:t>
            </w:r>
            <w:r w:rsidRPr="003425E4">
              <w:rPr>
                <w:rFonts w:asciiTheme="minorHAnsi" w:hAnsiTheme="minorHAnsi"/>
                <w:sz w:val="22"/>
                <w:szCs w:val="22"/>
              </w:rPr>
              <w:t xml:space="preserve"> Hallucinations        </w:t>
            </w:r>
            <w:r w:rsidRPr="003425E4">
              <w:rPr>
                <w:rFonts w:asciiTheme="minorHAnsi" w:hAnsiTheme="minorHAnsi" w:cs="Courier New"/>
                <w:sz w:val="22"/>
                <w:szCs w:val="22"/>
              </w:rPr>
              <w:t>o</w:t>
            </w:r>
            <w:r w:rsidRPr="003425E4">
              <w:rPr>
                <w:rFonts w:asciiTheme="minorHAnsi" w:hAnsiTheme="minorHAnsi"/>
                <w:sz w:val="22"/>
                <w:szCs w:val="22"/>
              </w:rPr>
              <w:t xml:space="preserve"> Disorientation</w:t>
            </w:r>
          </w:p>
          <w:p w:rsidR="00797C51" w:rsidRPr="003425E4" w:rsidRDefault="00797C51" w:rsidP="00833630">
            <w:pPr>
              <w:pStyle w:val="Default"/>
              <w:rPr>
                <w:rFonts w:asciiTheme="minorHAnsi" w:hAnsiTheme="minorHAnsi"/>
                <w:sz w:val="22"/>
                <w:szCs w:val="22"/>
              </w:rPr>
            </w:pPr>
            <w:r w:rsidRPr="003425E4">
              <w:rPr>
                <w:rFonts w:asciiTheme="minorHAnsi" w:hAnsiTheme="minorHAnsi" w:cs="Courier New"/>
                <w:sz w:val="22"/>
                <w:szCs w:val="22"/>
              </w:rPr>
              <w:t xml:space="preserve">                                o</w:t>
            </w:r>
            <w:r w:rsidRPr="003425E4">
              <w:rPr>
                <w:rFonts w:asciiTheme="minorHAnsi" w:hAnsiTheme="minorHAnsi"/>
                <w:sz w:val="22"/>
                <w:szCs w:val="22"/>
              </w:rPr>
              <w:t xml:space="preserve"> Tachycardia            </w:t>
            </w:r>
            <w:r w:rsidRPr="003425E4">
              <w:rPr>
                <w:rFonts w:asciiTheme="minorHAnsi" w:hAnsiTheme="minorHAnsi" w:cs="Courier New"/>
                <w:sz w:val="22"/>
                <w:szCs w:val="22"/>
              </w:rPr>
              <w:t>o</w:t>
            </w:r>
            <w:r w:rsidRPr="003425E4">
              <w:rPr>
                <w:rFonts w:asciiTheme="minorHAnsi" w:hAnsiTheme="minorHAnsi"/>
                <w:sz w:val="22"/>
                <w:szCs w:val="22"/>
              </w:rPr>
              <w:t xml:space="preserve"> Hypertension</w:t>
            </w:r>
          </w:p>
          <w:p w:rsidR="00797C51" w:rsidRPr="003425E4" w:rsidRDefault="00797C51" w:rsidP="00833630">
            <w:pPr>
              <w:pStyle w:val="Default"/>
              <w:rPr>
                <w:rFonts w:asciiTheme="minorHAnsi" w:hAnsiTheme="minorHAnsi"/>
                <w:sz w:val="22"/>
                <w:szCs w:val="22"/>
              </w:rPr>
            </w:pPr>
            <w:r w:rsidRPr="003425E4">
              <w:rPr>
                <w:rFonts w:asciiTheme="minorHAnsi" w:hAnsiTheme="minorHAnsi" w:cs="Courier New"/>
                <w:sz w:val="22"/>
                <w:szCs w:val="22"/>
              </w:rPr>
              <w:t xml:space="preserve">                                o</w:t>
            </w:r>
            <w:r w:rsidRPr="003425E4">
              <w:rPr>
                <w:rFonts w:asciiTheme="minorHAnsi" w:hAnsiTheme="minorHAnsi"/>
                <w:sz w:val="22"/>
                <w:szCs w:val="22"/>
              </w:rPr>
              <w:t xml:space="preserve"> Fever                        </w:t>
            </w:r>
            <w:r w:rsidRPr="003425E4">
              <w:rPr>
                <w:rFonts w:asciiTheme="minorHAnsi" w:hAnsiTheme="minorHAnsi" w:cs="Courier New"/>
                <w:sz w:val="22"/>
                <w:szCs w:val="22"/>
              </w:rPr>
              <w:t>o</w:t>
            </w:r>
            <w:r w:rsidRPr="003425E4">
              <w:rPr>
                <w:rFonts w:asciiTheme="minorHAnsi" w:hAnsiTheme="minorHAnsi"/>
                <w:sz w:val="22"/>
                <w:szCs w:val="22"/>
              </w:rPr>
              <w:t xml:space="preserve"> Agitation</w:t>
            </w:r>
          </w:p>
          <w:p w:rsidR="00797C51" w:rsidRPr="003425E4" w:rsidRDefault="00797C51" w:rsidP="00833630">
            <w:pPr>
              <w:pStyle w:val="Default"/>
              <w:rPr>
                <w:rFonts w:asciiTheme="minorHAnsi" w:hAnsiTheme="minorHAnsi"/>
                <w:sz w:val="22"/>
                <w:szCs w:val="22"/>
              </w:rPr>
            </w:pPr>
            <w:r w:rsidRPr="003425E4">
              <w:rPr>
                <w:rFonts w:asciiTheme="minorHAnsi" w:hAnsiTheme="minorHAnsi" w:cs="Courier New"/>
                <w:sz w:val="22"/>
                <w:szCs w:val="22"/>
              </w:rPr>
              <w:t xml:space="preserve">                                o</w:t>
            </w:r>
            <w:r w:rsidRPr="003425E4">
              <w:rPr>
                <w:rFonts w:asciiTheme="minorHAnsi" w:hAnsiTheme="minorHAnsi"/>
                <w:sz w:val="22"/>
                <w:szCs w:val="22"/>
              </w:rPr>
              <w:t xml:space="preserve"> Diaphoresis </w:t>
            </w:r>
          </w:p>
          <w:p w:rsidR="00797C51" w:rsidRPr="003425E4" w:rsidRDefault="00797C51" w:rsidP="00833630">
            <w:pPr>
              <w:pStyle w:val="Default"/>
              <w:rPr>
                <w:rFonts w:asciiTheme="minorHAnsi" w:hAnsiTheme="minorHAnsi"/>
                <w:sz w:val="22"/>
                <w:szCs w:val="22"/>
              </w:rPr>
            </w:pPr>
          </w:p>
          <w:p w:rsidR="00797C51" w:rsidRPr="003425E4" w:rsidRDefault="00797C51" w:rsidP="00833630">
            <w:pPr>
              <w:pStyle w:val="Default"/>
              <w:rPr>
                <w:rFonts w:asciiTheme="minorHAnsi" w:hAnsiTheme="minorHAnsi"/>
                <w:sz w:val="22"/>
                <w:szCs w:val="22"/>
              </w:rPr>
            </w:pPr>
            <w:r w:rsidRPr="003425E4">
              <w:rPr>
                <w:rFonts w:asciiTheme="minorHAnsi" w:hAnsiTheme="minorHAnsi"/>
                <w:b/>
                <w:sz w:val="22"/>
                <w:szCs w:val="22"/>
                <w:u w:val="single"/>
              </w:rPr>
              <w:t>2.</w:t>
            </w:r>
            <w:r w:rsidRPr="003425E4">
              <w:rPr>
                <w:rFonts w:asciiTheme="minorHAnsi" w:hAnsiTheme="minorHAnsi"/>
                <w:sz w:val="22"/>
                <w:szCs w:val="22"/>
              </w:rPr>
              <w:t xml:space="preserve"> Clinical Institute Withdrawal Assessment Scale for Alcohol, revised</w:t>
            </w:r>
          </w:p>
          <w:p w:rsidR="00797C51" w:rsidRPr="003425E4" w:rsidRDefault="00797C51" w:rsidP="00833630">
            <w:pPr>
              <w:pStyle w:val="Default"/>
              <w:rPr>
                <w:rFonts w:asciiTheme="minorHAnsi" w:hAnsiTheme="minorHAnsi"/>
                <w:sz w:val="22"/>
                <w:szCs w:val="22"/>
              </w:rPr>
            </w:pPr>
            <w:r w:rsidRPr="003425E4">
              <w:rPr>
                <w:rFonts w:asciiTheme="minorHAnsi" w:hAnsiTheme="minorHAnsi"/>
                <w:sz w:val="22"/>
                <w:szCs w:val="22"/>
              </w:rPr>
              <w:t>(CIWA-</w:t>
            </w:r>
            <w:proofErr w:type="spellStart"/>
            <w:r w:rsidRPr="003425E4">
              <w:rPr>
                <w:rFonts w:asciiTheme="minorHAnsi" w:hAnsiTheme="minorHAnsi"/>
                <w:sz w:val="22"/>
                <w:szCs w:val="22"/>
              </w:rPr>
              <w:t>Ar</w:t>
            </w:r>
            <w:proofErr w:type="spellEnd"/>
            <w:r w:rsidRPr="003425E4">
              <w:rPr>
                <w:rFonts w:asciiTheme="minorHAnsi" w:hAnsiTheme="minorHAnsi"/>
                <w:sz w:val="22"/>
                <w:szCs w:val="22"/>
              </w:rPr>
              <w:t xml:space="preserve">) form score greater than 15. </w:t>
            </w:r>
          </w:p>
          <w:p w:rsidR="00797C51" w:rsidRPr="003425E4" w:rsidRDefault="00797C51" w:rsidP="00833630">
            <w:pPr>
              <w:pStyle w:val="Default"/>
              <w:rPr>
                <w:rFonts w:asciiTheme="minorHAnsi" w:hAnsiTheme="minorHAnsi"/>
                <w:sz w:val="22"/>
                <w:szCs w:val="22"/>
              </w:rPr>
            </w:pPr>
          </w:p>
          <w:p w:rsidR="00797C51" w:rsidRPr="003425E4" w:rsidRDefault="00797C51" w:rsidP="00833630">
            <w:pPr>
              <w:pStyle w:val="Default"/>
              <w:rPr>
                <w:rFonts w:asciiTheme="minorHAnsi" w:hAnsiTheme="minorHAnsi"/>
                <w:sz w:val="22"/>
                <w:szCs w:val="22"/>
              </w:rPr>
            </w:pPr>
            <w:r w:rsidRPr="003425E4">
              <w:rPr>
                <w:rFonts w:asciiTheme="minorHAnsi" w:hAnsiTheme="minorHAnsi"/>
                <w:b/>
                <w:sz w:val="22"/>
                <w:szCs w:val="22"/>
                <w:u w:val="single"/>
              </w:rPr>
              <w:t xml:space="preserve">3. </w:t>
            </w:r>
            <w:r w:rsidRPr="003425E4">
              <w:rPr>
                <w:rFonts w:asciiTheme="minorHAnsi" w:hAnsiTheme="minorHAnsi"/>
                <w:sz w:val="22"/>
                <w:szCs w:val="22"/>
              </w:rPr>
              <w:t xml:space="preserve">Alcohol/sedative withdrawal with CIWA score greater than 8 </w:t>
            </w:r>
            <w:r w:rsidRPr="003425E4">
              <w:rPr>
                <w:rFonts w:asciiTheme="minorHAnsi" w:hAnsiTheme="minorHAnsi"/>
                <w:i/>
                <w:iCs/>
                <w:sz w:val="22"/>
                <w:szCs w:val="22"/>
              </w:rPr>
              <w:t xml:space="preserve">and </w:t>
            </w:r>
            <w:r w:rsidRPr="003425E4">
              <w:rPr>
                <w:rFonts w:asciiTheme="minorHAnsi" w:hAnsiTheme="minorHAnsi"/>
                <w:sz w:val="22"/>
                <w:szCs w:val="22"/>
              </w:rPr>
              <w:t xml:space="preserve">one or more of the following high risk factors: </w:t>
            </w:r>
          </w:p>
          <w:p w:rsidR="00797C51" w:rsidRPr="003425E4" w:rsidRDefault="00797C51" w:rsidP="00833630">
            <w:pPr>
              <w:pStyle w:val="Default"/>
              <w:rPr>
                <w:rFonts w:asciiTheme="minorHAnsi" w:hAnsiTheme="minorHAnsi"/>
                <w:sz w:val="22"/>
                <w:szCs w:val="22"/>
              </w:rPr>
            </w:pPr>
          </w:p>
          <w:p w:rsidR="00797C51" w:rsidRPr="003425E4" w:rsidRDefault="00797C51" w:rsidP="00833630">
            <w:pPr>
              <w:pStyle w:val="Default"/>
              <w:rPr>
                <w:rFonts w:asciiTheme="minorHAnsi" w:hAnsiTheme="minorHAnsi"/>
                <w:sz w:val="22"/>
                <w:szCs w:val="22"/>
              </w:rPr>
            </w:pPr>
            <w:r w:rsidRPr="003425E4">
              <w:rPr>
                <w:rFonts w:asciiTheme="minorHAnsi" w:hAnsiTheme="minorHAnsi" w:cs="Courier New"/>
                <w:sz w:val="22"/>
                <w:szCs w:val="22"/>
              </w:rPr>
              <w:t xml:space="preserve">o </w:t>
            </w:r>
            <w:r w:rsidRPr="003425E4">
              <w:rPr>
                <w:rFonts w:asciiTheme="minorHAnsi" w:hAnsiTheme="minorHAnsi"/>
                <w:sz w:val="22"/>
                <w:szCs w:val="22"/>
              </w:rPr>
              <w:t xml:space="preserve">Multiple substance abuse; </w:t>
            </w:r>
          </w:p>
          <w:p w:rsidR="00797C51" w:rsidRPr="003425E4" w:rsidRDefault="00797C51" w:rsidP="00833630">
            <w:pPr>
              <w:pStyle w:val="Default"/>
              <w:rPr>
                <w:rFonts w:asciiTheme="minorHAnsi" w:hAnsiTheme="minorHAnsi"/>
                <w:sz w:val="22"/>
                <w:szCs w:val="22"/>
              </w:rPr>
            </w:pPr>
            <w:r w:rsidRPr="003425E4">
              <w:rPr>
                <w:rFonts w:asciiTheme="minorHAnsi" w:hAnsiTheme="minorHAnsi" w:cs="Courier New"/>
                <w:sz w:val="22"/>
                <w:szCs w:val="22"/>
              </w:rPr>
              <w:t xml:space="preserve">o </w:t>
            </w:r>
            <w:r w:rsidRPr="003425E4">
              <w:rPr>
                <w:rFonts w:asciiTheme="minorHAnsi" w:hAnsiTheme="minorHAnsi"/>
                <w:sz w:val="22"/>
                <w:szCs w:val="22"/>
              </w:rPr>
              <w:t xml:space="preserve">History of delirium tremens; </w:t>
            </w:r>
          </w:p>
          <w:p w:rsidR="00797C51" w:rsidRPr="003425E4" w:rsidRDefault="00797C51" w:rsidP="00833630">
            <w:pPr>
              <w:pStyle w:val="Default"/>
              <w:ind w:left="314" w:hanging="314"/>
              <w:rPr>
                <w:rFonts w:asciiTheme="minorHAnsi" w:hAnsiTheme="minorHAnsi"/>
                <w:sz w:val="22"/>
                <w:szCs w:val="22"/>
              </w:rPr>
            </w:pPr>
            <w:r w:rsidRPr="003425E4">
              <w:rPr>
                <w:rFonts w:asciiTheme="minorHAnsi" w:hAnsiTheme="minorHAnsi" w:cs="Courier New"/>
                <w:sz w:val="22"/>
                <w:szCs w:val="22"/>
              </w:rPr>
              <w:t xml:space="preserve">o </w:t>
            </w:r>
            <w:r w:rsidRPr="003425E4">
              <w:rPr>
                <w:rFonts w:asciiTheme="minorHAnsi" w:hAnsiTheme="minorHAnsi"/>
                <w:sz w:val="22"/>
                <w:szCs w:val="22"/>
              </w:rPr>
              <w:t xml:space="preserve">Unable to receive the necessary medical assessment, monitoring, and treatment in a setting with a lower level of care; </w:t>
            </w:r>
          </w:p>
          <w:p w:rsidR="00797C51" w:rsidRPr="003425E4" w:rsidRDefault="00797C51" w:rsidP="00833630">
            <w:pPr>
              <w:pStyle w:val="Default"/>
              <w:ind w:left="314" w:hanging="314"/>
              <w:rPr>
                <w:rFonts w:asciiTheme="minorHAnsi" w:hAnsiTheme="minorHAnsi"/>
                <w:sz w:val="22"/>
                <w:szCs w:val="22"/>
              </w:rPr>
            </w:pPr>
            <w:r w:rsidRPr="003425E4">
              <w:rPr>
                <w:rFonts w:asciiTheme="minorHAnsi" w:hAnsiTheme="minorHAnsi" w:cs="Courier New"/>
                <w:sz w:val="22"/>
                <w:szCs w:val="22"/>
              </w:rPr>
              <w:t xml:space="preserve">o </w:t>
            </w:r>
            <w:r w:rsidRPr="003425E4">
              <w:rPr>
                <w:rFonts w:asciiTheme="minorHAnsi" w:hAnsiTheme="minorHAnsi"/>
                <w:sz w:val="22"/>
                <w:szCs w:val="22"/>
              </w:rPr>
              <w:t xml:space="preserve">Medical co-morbidities that make detoxification in an outpatient setting unsafe; </w:t>
            </w:r>
          </w:p>
          <w:p w:rsidR="00797C51" w:rsidRPr="003425E4" w:rsidRDefault="00797C51" w:rsidP="00833630">
            <w:pPr>
              <w:pStyle w:val="Default"/>
              <w:rPr>
                <w:rFonts w:asciiTheme="minorHAnsi" w:hAnsiTheme="minorHAnsi"/>
                <w:sz w:val="22"/>
                <w:szCs w:val="22"/>
              </w:rPr>
            </w:pPr>
            <w:r w:rsidRPr="003425E4">
              <w:rPr>
                <w:rFonts w:asciiTheme="minorHAnsi" w:hAnsiTheme="minorHAnsi" w:cs="Courier New"/>
                <w:sz w:val="22"/>
                <w:szCs w:val="22"/>
              </w:rPr>
              <w:t xml:space="preserve">o </w:t>
            </w:r>
            <w:r w:rsidRPr="003425E4">
              <w:rPr>
                <w:rFonts w:asciiTheme="minorHAnsi" w:hAnsiTheme="minorHAnsi"/>
                <w:sz w:val="22"/>
                <w:szCs w:val="22"/>
              </w:rPr>
              <w:t xml:space="preserve">History of failed outpatient treatment; </w:t>
            </w:r>
          </w:p>
          <w:p w:rsidR="00797C51" w:rsidRPr="003425E4" w:rsidRDefault="00797C51" w:rsidP="00833630">
            <w:pPr>
              <w:pStyle w:val="Default"/>
              <w:rPr>
                <w:rFonts w:asciiTheme="minorHAnsi" w:hAnsiTheme="minorHAnsi"/>
                <w:sz w:val="22"/>
                <w:szCs w:val="22"/>
              </w:rPr>
            </w:pPr>
            <w:r w:rsidRPr="003425E4">
              <w:rPr>
                <w:rFonts w:asciiTheme="minorHAnsi" w:hAnsiTheme="minorHAnsi" w:cs="Courier New"/>
                <w:sz w:val="22"/>
                <w:szCs w:val="22"/>
              </w:rPr>
              <w:t xml:space="preserve">o </w:t>
            </w:r>
            <w:r w:rsidRPr="003425E4">
              <w:rPr>
                <w:rFonts w:asciiTheme="minorHAnsi" w:hAnsiTheme="minorHAnsi"/>
                <w:sz w:val="22"/>
                <w:szCs w:val="22"/>
              </w:rPr>
              <w:t xml:space="preserve">Psychiatric co-morbidities; </w:t>
            </w:r>
          </w:p>
          <w:p w:rsidR="00797C51" w:rsidRPr="003425E4" w:rsidRDefault="00797C51" w:rsidP="00833630">
            <w:pPr>
              <w:pStyle w:val="Default"/>
              <w:rPr>
                <w:rFonts w:asciiTheme="minorHAnsi" w:hAnsiTheme="minorHAnsi"/>
                <w:sz w:val="22"/>
                <w:szCs w:val="22"/>
              </w:rPr>
            </w:pPr>
            <w:r w:rsidRPr="003425E4">
              <w:rPr>
                <w:rFonts w:asciiTheme="minorHAnsi" w:hAnsiTheme="minorHAnsi" w:cs="Courier New"/>
                <w:sz w:val="22"/>
                <w:szCs w:val="22"/>
              </w:rPr>
              <w:t xml:space="preserve">o </w:t>
            </w:r>
            <w:r w:rsidRPr="003425E4">
              <w:rPr>
                <w:rFonts w:asciiTheme="minorHAnsi" w:hAnsiTheme="minorHAnsi"/>
                <w:sz w:val="22"/>
                <w:szCs w:val="22"/>
              </w:rPr>
              <w:t xml:space="preserve">Pregnancy; or </w:t>
            </w:r>
          </w:p>
          <w:p w:rsidR="00797C51" w:rsidRPr="003425E4" w:rsidRDefault="00797C51" w:rsidP="00833630">
            <w:pPr>
              <w:pStyle w:val="Default"/>
              <w:rPr>
                <w:rFonts w:asciiTheme="minorHAnsi" w:hAnsiTheme="minorHAnsi"/>
                <w:sz w:val="22"/>
                <w:szCs w:val="22"/>
              </w:rPr>
            </w:pPr>
            <w:proofErr w:type="gramStart"/>
            <w:r w:rsidRPr="003425E4">
              <w:rPr>
                <w:rFonts w:asciiTheme="minorHAnsi" w:hAnsiTheme="minorHAnsi" w:cs="Courier New"/>
                <w:sz w:val="22"/>
                <w:szCs w:val="22"/>
              </w:rPr>
              <w:t>o</w:t>
            </w:r>
            <w:proofErr w:type="gramEnd"/>
            <w:r w:rsidRPr="003425E4">
              <w:rPr>
                <w:rFonts w:asciiTheme="minorHAnsi" w:hAnsiTheme="minorHAnsi" w:cs="Courier New"/>
                <w:sz w:val="22"/>
                <w:szCs w:val="22"/>
              </w:rPr>
              <w:t xml:space="preserve"> </w:t>
            </w:r>
            <w:r w:rsidRPr="003425E4">
              <w:rPr>
                <w:rFonts w:asciiTheme="minorHAnsi" w:hAnsiTheme="minorHAnsi"/>
                <w:sz w:val="22"/>
                <w:szCs w:val="22"/>
              </w:rPr>
              <w:t xml:space="preserve">History of seizure disorder or withdrawal seizures. </w:t>
            </w:r>
          </w:p>
          <w:p w:rsidR="00797C51" w:rsidRPr="003425E4" w:rsidRDefault="00797C51" w:rsidP="00833630">
            <w:pPr>
              <w:pStyle w:val="Default"/>
              <w:rPr>
                <w:rFonts w:asciiTheme="minorHAnsi" w:hAnsiTheme="minorHAnsi"/>
                <w:sz w:val="22"/>
                <w:szCs w:val="22"/>
              </w:rPr>
            </w:pPr>
          </w:p>
          <w:p w:rsidR="00797C51" w:rsidRPr="003425E4" w:rsidRDefault="00797C51" w:rsidP="00833630">
            <w:pPr>
              <w:pStyle w:val="Default"/>
              <w:rPr>
                <w:rFonts w:asciiTheme="minorHAnsi" w:hAnsiTheme="minorHAnsi"/>
                <w:sz w:val="22"/>
                <w:szCs w:val="22"/>
              </w:rPr>
            </w:pPr>
            <w:r w:rsidRPr="003425E4">
              <w:rPr>
                <w:rFonts w:asciiTheme="minorHAnsi" w:hAnsiTheme="minorHAnsi"/>
                <w:b/>
                <w:sz w:val="22"/>
                <w:szCs w:val="22"/>
                <w:u w:val="single"/>
              </w:rPr>
              <w:t>4.</w:t>
            </w:r>
            <w:r w:rsidRPr="003425E4">
              <w:rPr>
                <w:rFonts w:asciiTheme="minorHAnsi" w:hAnsiTheme="minorHAnsi"/>
                <w:sz w:val="22"/>
                <w:szCs w:val="22"/>
              </w:rPr>
              <w:t xml:space="preserve"> Complications of opioid withdrawal that cannot be adequately managed in the outpatient setting due to the following factors: Persistent vomiting and diarrhea from opioid withdrawal; and </w:t>
            </w:r>
          </w:p>
          <w:p w:rsidR="00797C51" w:rsidRPr="003425E4" w:rsidRDefault="00797C51" w:rsidP="00833630">
            <w:pPr>
              <w:pStyle w:val="Default"/>
              <w:rPr>
                <w:rFonts w:asciiTheme="minorHAnsi" w:hAnsiTheme="minorHAnsi"/>
                <w:sz w:val="22"/>
                <w:szCs w:val="22"/>
              </w:rPr>
            </w:pPr>
            <w:r w:rsidRPr="003425E4">
              <w:rPr>
                <w:rFonts w:asciiTheme="minorHAnsi" w:hAnsiTheme="minorHAnsi"/>
                <w:sz w:val="22"/>
                <w:szCs w:val="22"/>
              </w:rPr>
              <w:t xml:space="preserve">Dehydration and electrolyte imbalance that cannot be managed in a setting with a lower level of care. </w:t>
            </w:r>
          </w:p>
          <w:p w:rsidR="00797C51" w:rsidRPr="003425E4" w:rsidRDefault="00797C51" w:rsidP="00833630">
            <w:pPr>
              <w:pStyle w:val="Default"/>
              <w:rPr>
                <w:rFonts w:asciiTheme="minorHAnsi" w:hAnsiTheme="minorHAnsi"/>
                <w:sz w:val="22"/>
                <w:szCs w:val="22"/>
              </w:rPr>
            </w:pPr>
          </w:p>
          <w:p w:rsidR="00797C51" w:rsidRPr="003425E4" w:rsidRDefault="00797C51" w:rsidP="00833630">
            <w:pPr>
              <w:pStyle w:val="Default"/>
              <w:rPr>
                <w:rFonts w:asciiTheme="minorHAnsi" w:hAnsiTheme="minorHAnsi"/>
                <w:sz w:val="22"/>
                <w:szCs w:val="22"/>
              </w:rPr>
            </w:pPr>
            <w:r w:rsidRPr="003425E4">
              <w:rPr>
                <w:rFonts w:asciiTheme="minorHAnsi" w:hAnsiTheme="minorHAnsi"/>
                <w:sz w:val="22"/>
                <w:szCs w:val="22"/>
              </w:rPr>
              <w:t xml:space="preserve">Detoxification of cannabinoids, stimulants, or hallucinogens alone does not require inpatient level of medical intervention; however, multiple substance abuse with components of alcohol, opiates, or sedatives may be considered for inpatient admission. </w:t>
            </w:r>
          </w:p>
          <w:p w:rsidR="00797C51" w:rsidRPr="009A4F48" w:rsidRDefault="00797C51" w:rsidP="00833630">
            <w:pPr>
              <w:pStyle w:val="Default"/>
              <w:rPr>
                <w:rFonts w:asciiTheme="minorHAnsi" w:hAnsiTheme="minorHAnsi"/>
                <w:sz w:val="22"/>
                <w:szCs w:val="23"/>
              </w:rPr>
            </w:pPr>
          </w:p>
          <w:p w:rsidR="00797C51" w:rsidRPr="00EF450A" w:rsidRDefault="00797C51" w:rsidP="00833630">
            <w:pPr>
              <w:pStyle w:val="Default"/>
              <w:jc w:val="center"/>
              <w:rPr>
                <w:rFonts w:asciiTheme="minorHAnsi" w:hAnsiTheme="minorHAnsi"/>
                <w:b/>
                <w:sz w:val="22"/>
                <w:szCs w:val="23"/>
              </w:rPr>
            </w:pPr>
            <w:r w:rsidRPr="00EF450A">
              <w:rPr>
                <w:rFonts w:asciiTheme="minorHAnsi" w:hAnsiTheme="minorHAnsi"/>
                <w:b/>
                <w:sz w:val="22"/>
                <w:szCs w:val="23"/>
              </w:rPr>
              <w:t>San Diego Medi-Cal Local Field Office</w:t>
            </w:r>
          </w:p>
          <w:p w:rsidR="00797C51" w:rsidRPr="00EF450A" w:rsidRDefault="00797C51" w:rsidP="00833630">
            <w:pPr>
              <w:pStyle w:val="Default"/>
              <w:rPr>
                <w:rFonts w:asciiTheme="minorHAnsi" w:hAnsiTheme="minorHAnsi"/>
                <w:b/>
                <w:sz w:val="22"/>
                <w:szCs w:val="23"/>
              </w:rPr>
            </w:pPr>
            <w:r w:rsidRPr="00EF450A">
              <w:rPr>
                <w:rFonts w:asciiTheme="minorHAnsi" w:hAnsiTheme="minorHAnsi"/>
                <w:b/>
                <w:sz w:val="22"/>
                <w:szCs w:val="23"/>
              </w:rPr>
              <w:t>Phone     (8</w:t>
            </w:r>
            <w:r>
              <w:rPr>
                <w:rFonts w:asciiTheme="minorHAnsi" w:hAnsiTheme="minorHAnsi"/>
                <w:b/>
                <w:sz w:val="22"/>
                <w:szCs w:val="23"/>
              </w:rPr>
              <w:t>88</w:t>
            </w:r>
            <w:r w:rsidRPr="00EF450A">
              <w:rPr>
                <w:rFonts w:asciiTheme="minorHAnsi" w:hAnsiTheme="minorHAnsi"/>
                <w:b/>
                <w:sz w:val="22"/>
                <w:szCs w:val="23"/>
              </w:rPr>
              <w:t>) 724-7302</w:t>
            </w:r>
            <w:r>
              <w:rPr>
                <w:rFonts w:asciiTheme="minorHAnsi" w:hAnsiTheme="minorHAnsi"/>
                <w:b/>
                <w:sz w:val="22"/>
                <w:szCs w:val="23"/>
              </w:rPr>
              <w:t xml:space="preserve">                                      P.O. Box 85344</w:t>
            </w:r>
          </w:p>
          <w:p w:rsidR="00797C51" w:rsidRPr="00EF450A" w:rsidRDefault="00797C51" w:rsidP="00833630">
            <w:pPr>
              <w:pStyle w:val="Default"/>
              <w:rPr>
                <w:rFonts w:asciiTheme="minorHAnsi" w:hAnsiTheme="minorHAnsi"/>
                <w:b/>
                <w:sz w:val="22"/>
                <w:szCs w:val="23"/>
              </w:rPr>
            </w:pPr>
            <w:r w:rsidRPr="00EF450A">
              <w:rPr>
                <w:rFonts w:asciiTheme="minorHAnsi" w:hAnsiTheme="minorHAnsi"/>
                <w:b/>
                <w:sz w:val="22"/>
                <w:szCs w:val="23"/>
              </w:rPr>
              <w:t>Fax           (8</w:t>
            </w:r>
            <w:r>
              <w:rPr>
                <w:rFonts w:asciiTheme="minorHAnsi" w:hAnsiTheme="minorHAnsi"/>
                <w:b/>
                <w:sz w:val="22"/>
                <w:szCs w:val="23"/>
              </w:rPr>
              <w:t>88</w:t>
            </w:r>
            <w:r w:rsidRPr="00EF450A">
              <w:rPr>
                <w:rFonts w:asciiTheme="minorHAnsi" w:hAnsiTheme="minorHAnsi"/>
                <w:b/>
                <w:sz w:val="22"/>
                <w:szCs w:val="23"/>
              </w:rPr>
              <w:t>) 724-7301</w:t>
            </w:r>
            <w:r>
              <w:rPr>
                <w:rFonts w:asciiTheme="minorHAnsi" w:hAnsiTheme="minorHAnsi"/>
                <w:b/>
                <w:sz w:val="22"/>
                <w:szCs w:val="23"/>
              </w:rPr>
              <w:t xml:space="preserve">                                     San Diego, CA.  92186-5344</w:t>
            </w:r>
          </w:p>
          <w:p w:rsidR="00797C51" w:rsidRPr="009A4F48" w:rsidRDefault="00797C51" w:rsidP="00833630">
            <w:pPr>
              <w:pStyle w:val="Default"/>
              <w:rPr>
                <w:rFonts w:asciiTheme="minorHAnsi" w:hAnsiTheme="minorHAnsi"/>
                <w:sz w:val="22"/>
                <w:szCs w:val="23"/>
              </w:rPr>
            </w:pPr>
          </w:p>
        </w:tc>
      </w:tr>
    </w:tbl>
    <w:p w:rsidR="00043BA1" w:rsidRPr="00797C51" w:rsidRDefault="00043BA1" w:rsidP="00797C51">
      <w:pPr>
        <w:spacing w:after="0"/>
        <w:rPr>
          <w:b/>
          <w:sz w:val="8"/>
          <w:szCs w:val="40"/>
        </w:rPr>
      </w:pPr>
    </w:p>
    <w:tbl>
      <w:tblPr>
        <w:tblpPr w:leftFromText="180" w:rightFromText="180" w:vertAnchor="text" w:horzAnchor="margin" w:tblpXSpec="center" w:tblpY="161"/>
        <w:tblW w:w="112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135"/>
        <w:gridCol w:w="2700"/>
        <w:gridCol w:w="2700"/>
        <w:gridCol w:w="2730"/>
      </w:tblGrid>
      <w:tr w:rsidR="005B4742" w:rsidRPr="00312251" w:rsidTr="005B4742">
        <w:trPr>
          <w:trHeight w:val="1137"/>
        </w:trPr>
        <w:tc>
          <w:tcPr>
            <w:tcW w:w="3135" w:type="dxa"/>
          </w:tcPr>
          <w:p w:rsidR="005B4742" w:rsidRPr="00312251" w:rsidRDefault="005B4742" w:rsidP="00312251">
            <w:pPr>
              <w:keepNext/>
              <w:spacing w:after="0" w:line="240" w:lineRule="auto"/>
              <w:jc w:val="center"/>
              <w:outlineLvl w:val="8"/>
              <w:rPr>
                <w:rFonts w:ascii="Arial Narrow" w:eastAsia="Times New Roman" w:hAnsi="Arial Narrow"/>
                <w:color w:val="000080"/>
                <w:sz w:val="16"/>
              </w:rPr>
            </w:pPr>
          </w:p>
          <w:p w:rsidR="005B4742" w:rsidRDefault="005B4742" w:rsidP="00312251">
            <w:pPr>
              <w:keepNext/>
              <w:spacing w:after="0" w:line="240" w:lineRule="auto"/>
              <w:jc w:val="center"/>
              <w:outlineLvl w:val="8"/>
              <w:rPr>
                <w:rFonts w:ascii="Arial Narrow" w:eastAsia="Times New Roman" w:hAnsi="Arial Narrow"/>
                <w:color w:val="000080"/>
                <w:sz w:val="16"/>
              </w:rPr>
            </w:pPr>
            <w:r>
              <w:rPr>
                <w:rFonts w:ascii="Arial Narrow" w:eastAsia="Times New Roman" w:hAnsi="Arial Narrow"/>
                <w:color w:val="000080"/>
                <w:sz w:val="16"/>
              </w:rPr>
              <w:t>Blue Shield CA</w:t>
            </w:r>
          </w:p>
          <w:p w:rsidR="005B4742" w:rsidRPr="00312251" w:rsidRDefault="005B4742" w:rsidP="00312251">
            <w:pPr>
              <w:keepNext/>
              <w:spacing w:after="0" w:line="240" w:lineRule="auto"/>
              <w:jc w:val="center"/>
              <w:outlineLvl w:val="8"/>
              <w:rPr>
                <w:rFonts w:ascii="Arial Narrow" w:eastAsia="Times New Roman" w:hAnsi="Arial Narrow"/>
                <w:color w:val="000080"/>
                <w:sz w:val="16"/>
              </w:rPr>
            </w:pPr>
            <w:r>
              <w:rPr>
                <w:rFonts w:ascii="Arial Narrow" w:eastAsia="Times New Roman" w:hAnsi="Arial Narrow"/>
                <w:color w:val="000080"/>
                <w:sz w:val="16"/>
              </w:rPr>
              <w:t>Promise Health Plan</w:t>
            </w:r>
          </w:p>
          <w:p w:rsidR="005B4742" w:rsidRPr="00312251" w:rsidRDefault="005B4742" w:rsidP="00312251">
            <w:pPr>
              <w:keepNext/>
              <w:spacing w:after="0" w:line="240" w:lineRule="auto"/>
              <w:jc w:val="center"/>
              <w:outlineLvl w:val="8"/>
              <w:rPr>
                <w:rFonts w:ascii="Arial Narrow" w:eastAsia="Times New Roman" w:hAnsi="Arial Narrow"/>
                <w:color w:val="000080"/>
                <w:sz w:val="16"/>
              </w:rPr>
            </w:pPr>
            <w:r w:rsidRPr="00312251">
              <w:rPr>
                <w:rFonts w:ascii="Arial Narrow" w:eastAsia="Times New Roman" w:hAnsi="Arial Narrow"/>
                <w:color w:val="000080"/>
                <w:sz w:val="16"/>
              </w:rPr>
              <w:t>(855) 321-2211</w:t>
            </w:r>
          </w:p>
          <w:p w:rsidR="005B4742" w:rsidRDefault="005B4742" w:rsidP="00312251">
            <w:pPr>
              <w:keepNext/>
              <w:spacing w:after="0" w:line="240" w:lineRule="auto"/>
              <w:jc w:val="center"/>
              <w:outlineLvl w:val="8"/>
              <w:rPr>
                <w:rFonts w:ascii="Arial Narrow" w:hAnsi="Arial Narrow"/>
                <w:color w:val="002060"/>
                <w:sz w:val="16"/>
                <w:szCs w:val="16"/>
              </w:rPr>
            </w:pPr>
            <w:proofErr w:type="spellStart"/>
            <w:r w:rsidRPr="00437D4E">
              <w:rPr>
                <w:rFonts w:ascii="Arial Narrow" w:hAnsi="Arial Narrow"/>
                <w:color w:val="002060"/>
                <w:sz w:val="16"/>
                <w:szCs w:val="16"/>
              </w:rPr>
              <w:t>Blueshieldca</w:t>
            </w:r>
            <w:proofErr w:type="spellEnd"/>
            <w:r w:rsidRPr="00437D4E">
              <w:rPr>
                <w:rFonts w:ascii="Arial Narrow" w:hAnsi="Arial Narrow"/>
                <w:color w:val="002060"/>
                <w:sz w:val="16"/>
                <w:szCs w:val="16"/>
              </w:rPr>
              <w:t>.</w:t>
            </w:r>
          </w:p>
          <w:p w:rsidR="005B4742" w:rsidRPr="00437D4E" w:rsidRDefault="005B4742" w:rsidP="00312251">
            <w:pPr>
              <w:keepNext/>
              <w:spacing w:after="0" w:line="240" w:lineRule="auto"/>
              <w:jc w:val="center"/>
              <w:outlineLvl w:val="8"/>
              <w:rPr>
                <w:rFonts w:ascii="Arial Narrow" w:eastAsia="Times New Roman" w:hAnsi="Arial Narrow"/>
                <w:color w:val="000080"/>
                <w:sz w:val="16"/>
                <w:szCs w:val="16"/>
                <w:u w:val="single"/>
              </w:rPr>
            </w:pPr>
            <w:r w:rsidRPr="00437D4E">
              <w:rPr>
                <w:rFonts w:ascii="Arial Narrow" w:hAnsi="Arial Narrow"/>
                <w:color w:val="002060"/>
                <w:sz w:val="16"/>
                <w:szCs w:val="16"/>
              </w:rPr>
              <w:t>com/promise</w:t>
            </w:r>
          </w:p>
        </w:tc>
        <w:tc>
          <w:tcPr>
            <w:tcW w:w="2700" w:type="dxa"/>
          </w:tcPr>
          <w:p w:rsidR="005B4742" w:rsidRPr="00312251" w:rsidRDefault="005B4742" w:rsidP="00312251">
            <w:pPr>
              <w:keepNext/>
              <w:spacing w:after="0" w:line="240" w:lineRule="auto"/>
              <w:jc w:val="center"/>
              <w:outlineLvl w:val="8"/>
              <w:rPr>
                <w:rFonts w:ascii="Arial Narrow" w:eastAsia="Times New Roman" w:hAnsi="Arial Narrow"/>
                <w:color w:val="000080"/>
                <w:sz w:val="16"/>
              </w:rPr>
            </w:pPr>
          </w:p>
          <w:p w:rsidR="005B4742" w:rsidRPr="00312251" w:rsidRDefault="005B4742" w:rsidP="00312251">
            <w:pPr>
              <w:keepNext/>
              <w:spacing w:after="0" w:line="240" w:lineRule="auto"/>
              <w:jc w:val="center"/>
              <w:outlineLvl w:val="8"/>
              <w:rPr>
                <w:rFonts w:ascii="Arial Narrow" w:eastAsia="Times New Roman" w:hAnsi="Arial Narrow"/>
                <w:color w:val="000080"/>
                <w:sz w:val="16"/>
              </w:rPr>
            </w:pPr>
            <w:r w:rsidRPr="00312251">
              <w:rPr>
                <w:rFonts w:ascii="Arial Narrow" w:eastAsia="Times New Roman" w:hAnsi="Arial Narrow"/>
                <w:color w:val="000080"/>
                <w:sz w:val="16"/>
              </w:rPr>
              <w:t xml:space="preserve"> Community Health Group</w:t>
            </w:r>
          </w:p>
          <w:p w:rsidR="005B4742" w:rsidRPr="00312251" w:rsidRDefault="005B4742" w:rsidP="00312251">
            <w:pPr>
              <w:keepNext/>
              <w:spacing w:after="0" w:line="240" w:lineRule="auto"/>
              <w:jc w:val="center"/>
              <w:outlineLvl w:val="8"/>
              <w:rPr>
                <w:rFonts w:ascii="Arial Narrow" w:eastAsia="Times New Roman" w:hAnsi="Arial Narrow"/>
                <w:color w:val="000080"/>
                <w:sz w:val="16"/>
              </w:rPr>
            </w:pPr>
            <w:r w:rsidRPr="00312251">
              <w:rPr>
                <w:rFonts w:ascii="Arial Narrow" w:eastAsia="Times New Roman" w:hAnsi="Arial Narrow"/>
                <w:color w:val="000080"/>
                <w:sz w:val="16"/>
              </w:rPr>
              <w:t xml:space="preserve"> (800) 404-3332</w:t>
            </w:r>
          </w:p>
          <w:p w:rsidR="005B4742" w:rsidRPr="002D3A8B" w:rsidRDefault="005B4742" w:rsidP="002D3A8B">
            <w:pPr>
              <w:keepNext/>
              <w:spacing w:after="0" w:line="240" w:lineRule="auto"/>
              <w:jc w:val="center"/>
              <w:outlineLvl w:val="8"/>
              <w:rPr>
                <w:rFonts w:ascii="Arial Narrow" w:eastAsia="Times New Roman" w:hAnsi="Arial Narrow"/>
                <w:color w:val="000080"/>
                <w:sz w:val="16"/>
                <w:u w:val="single"/>
              </w:rPr>
            </w:pPr>
            <w:r w:rsidRPr="00312251">
              <w:rPr>
                <w:rFonts w:ascii="Arial Narrow" w:eastAsia="Times New Roman" w:hAnsi="Arial Narrow"/>
                <w:color w:val="000080"/>
                <w:sz w:val="16"/>
                <w:u w:val="single"/>
              </w:rPr>
              <w:t>Chgsd.com</w:t>
            </w:r>
          </w:p>
        </w:tc>
        <w:tc>
          <w:tcPr>
            <w:tcW w:w="2700" w:type="dxa"/>
          </w:tcPr>
          <w:p w:rsidR="005B4742" w:rsidRPr="00312251" w:rsidRDefault="005B4742" w:rsidP="00312251">
            <w:pPr>
              <w:tabs>
                <w:tab w:val="center" w:pos="4680"/>
                <w:tab w:val="right" w:pos="9360"/>
              </w:tabs>
              <w:spacing w:after="0" w:line="240" w:lineRule="auto"/>
              <w:jc w:val="center"/>
              <w:rPr>
                <w:rFonts w:ascii="Arial Narrow" w:eastAsiaTheme="minorEastAsia" w:hAnsi="Arial Narrow" w:cstheme="minorBidi"/>
                <w:color w:val="000080"/>
                <w:sz w:val="16"/>
              </w:rPr>
            </w:pPr>
          </w:p>
          <w:p w:rsidR="005B4742" w:rsidRPr="00312251" w:rsidRDefault="005B4742" w:rsidP="00312251">
            <w:pPr>
              <w:tabs>
                <w:tab w:val="center" w:pos="4752"/>
                <w:tab w:val="right" w:pos="9360"/>
              </w:tabs>
              <w:spacing w:after="0" w:line="240" w:lineRule="auto"/>
              <w:ind w:left="-108" w:right="-108"/>
              <w:jc w:val="center"/>
              <w:rPr>
                <w:rFonts w:ascii="Arial Narrow" w:eastAsiaTheme="minorEastAsia" w:hAnsi="Arial Narrow" w:cstheme="minorBidi"/>
                <w:color w:val="000080"/>
                <w:sz w:val="16"/>
              </w:rPr>
            </w:pPr>
            <w:r w:rsidRPr="00312251">
              <w:rPr>
                <w:rFonts w:ascii="Arial Narrow" w:eastAsiaTheme="minorEastAsia" w:hAnsi="Arial Narrow" w:cstheme="minorBidi"/>
                <w:color w:val="000080"/>
                <w:sz w:val="16"/>
              </w:rPr>
              <w:t xml:space="preserve">Kaiser Permanente          </w:t>
            </w:r>
          </w:p>
          <w:p w:rsidR="005B4742" w:rsidRPr="00312251" w:rsidRDefault="005B4742" w:rsidP="00312251">
            <w:pPr>
              <w:tabs>
                <w:tab w:val="center" w:pos="4680"/>
                <w:tab w:val="right" w:pos="9360"/>
              </w:tabs>
              <w:spacing w:after="0" w:line="240" w:lineRule="auto"/>
              <w:jc w:val="center"/>
              <w:rPr>
                <w:rFonts w:ascii="Arial Narrow" w:eastAsiaTheme="minorEastAsia" w:hAnsi="Arial Narrow" w:cstheme="minorBidi"/>
                <w:color w:val="000080"/>
                <w:sz w:val="16"/>
              </w:rPr>
            </w:pPr>
            <w:r w:rsidRPr="00312251">
              <w:rPr>
                <w:rFonts w:ascii="Arial Narrow" w:eastAsiaTheme="minorEastAsia" w:hAnsi="Arial Narrow" w:cstheme="minorBidi"/>
                <w:color w:val="000080"/>
                <w:sz w:val="16"/>
              </w:rPr>
              <w:t xml:space="preserve"> (877) 496-0450</w:t>
            </w:r>
          </w:p>
          <w:p w:rsidR="005B4742" w:rsidRPr="002D3A8B" w:rsidRDefault="005B4742" w:rsidP="002D3A8B">
            <w:pPr>
              <w:tabs>
                <w:tab w:val="center" w:pos="4680"/>
                <w:tab w:val="right" w:pos="9360"/>
              </w:tabs>
              <w:spacing w:after="0" w:line="240" w:lineRule="auto"/>
              <w:jc w:val="center"/>
              <w:rPr>
                <w:rFonts w:ascii="Arial Narrow" w:eastAsiaTheme="minorEastAsia" w:hAnsi="Arial Narrow" w:cstheme="minorBidi"/>
                <w:color w:val="000080"/>
                <w:sz w:val="16"/>
                <w:u w:val="single"/>
              </w:rPr>
            </w:pPr>
            <w:r>
              <w:rPr>
                <w:rFonts w:ascii="Arial Narrow" w:eastAsiaTheme="minorEastAsia" w:hAnsi="Arial Narrow" w:cstheme="minorBidi"/>
                <w:color w:val="000080"/>
                <w:sz w:val="16"/>
                <w:u w:val="single"/>
              </w:rPr>
              <w:t>KP</w:t>
            </w:r>
            <w:r w:rsidRPr="00312251">
              <w:rPr>
                <w:rFonts w:ascii="Arial Narrow" w:eastAsiaTheme="minorEastAsia" w:hAnsi="Arial Narrow" w:cstheme="minorBidi"/>
                <w:color w:val="000080"/>
                <w:sz w:val="16"/>
                <w:u w:val="single"/>
              </w:rPr>
              <w:t>.org</w:t>
            </w:r>
          </w:p>
        </w:tc>
        <w:tc>
          <w:tcPr>
            <w:tcW w:w="2730" w:type="dxa"/>
          </w:tcPr>
          <w:p w:rsidR="005B4742" w:rsidRPr="00312251" w:rsidRDefault="005B4742" w:rsidP="00312251">
            <w:pPr>
              <w:spacing w:after="0"/>
              <w:jc w:val="center"/>
              <w:rPr>
                <w:rFonts w:ascii="Arial Narrow" w:eastAsiaTheme="minorEastAsia" w:hAnsi="Arial Narrow" w:cs="Arial"/>
                <w:color w:val="000080"/>
                <w:sz w:val="16"/>
              </w:rPr>
            </w:pPr>
          </w:p>
          <w:p w:rsidR="005B4742" w:rsidRPr="00312251" w:rsidRDefault="005B4742" w:rsidP="00312251">
            <w:pPr>
              <w:spacing w:after="0"/>
              <w:jc w:val="center"/>
              <w:rPr>
                <w:rFonts w:ascii="Arial Narrow" w:eastAsiaTheme="minorEastAsia" w:hAnsi="Arial Narrow" w:cs="Arial"/>
                <w:color w:val="000080"/>
                <w:sz w:val="16"/>
              </w:rPr>
            </w:pPr>
            <w:r w:rsidRPr="00312251">
              <w:rPr>
                <w:rFonts w:ascii="Arial Narrow" w:eastAsiaTheme="minorEastAsia" w:hAnsi="Arial Narrow" w:cs="Arial"/>
                <w:color w:val="000080"/>
                <w:sz w:val="16"/>
              </w:rPr>
              <w:t xml:space="preserve">Molina Healthcare </w:t>
            </w:r>
          </w:p>
          <w:p w:rsidR="005B4742" w:rsidRDefault="005B4742" w:rsidP="00745BE1">
            <w:pPr>
              <w:spacing w:after="0"/>
              <w:jc w:val="center"/>
              <w:rPr>
                <w:rFonts w:ascii="Arial Narrow" w:eastAsiaTheme="minorEastAsia" w:hAnsi="Arial Narrow" w:cs="Arial"/>
                <w:color w:val="000080"/>
                <w:sz w:val="16"/>
              </w:rPr>
            </w:pPr>
            <w:r>
              <w:rPr>
                <w:rFonts w:ascii="Arial Narrow" w:eastAsiaTheme="minorEastAsia" w:hAnsi="Arial Narrow" w:cs="Arial"/>
                <w:color w:val="000080"/>
                <w:sz w:val="16"/>
              </w:rPr>
              <w:t xml:space="preserve">(888) </w:t>
            </w:r>
            <w:r w:rsidRPr="00745BE1">
              <w:rPr>
                <w:rFonts w:ascii="Arial Narrow" w:eastAsiaTheme="minorEastAsia" w:hAnsi="Arial Narrow" w:cs="Arial"/>
                <w:color w:val="000080"/>
                <w:sz w:val="16"/>
              </w:rPr>
              <w:t>665-4621</w:t>
            </w:r>
          </w:p>
          <w:p w:rsidR="005B4742" w:rsidRPr="00312251" w:rsidRDefault="005B4742" w:rsidP="002D3A8B">
            <w:pPr>
              <w:spacing w:after="0"/>
              <w:jc w:val="center"/>
              <w:rPr>
                <w:rFonts w:ascii="Arial Narrow" w:eastAsiaTheme="minorEastAsia" w:hAnsi="Arial Narrow" w:cs="Arial"/>
                <w:color w:val="000080"/>
                <w:sz w:val="16"/>
              </w:rPr>
            </w:pPr>
            <w:r>
              <w:rPr>
                <w:rFonts w:ascii="Arial Narrow" w:eastAsiaTheme="minorEastAsia" w:hAnsi="Arial Narrow" w:cs="Arial"/>
                <w:color w:val="000080"/>
                <w:sz w:val="16"/>
                <w:u w:val="single"/>
              </w:rPr>
              <w:t>MolinaH</w:t>
            </w:r>
            <w:r w:rsidRPr="00312251">
              <w:rPr>
                <w:rFonts w:ascii="Arial Narrow" w:eastAsiaTheme="minorEastAsia" w:hAnsi="Arial Narrow" w:cs="Arial"/>
                <w:color w:val="000080"/>
                <w:sz w:val="16"/>
                <w:u w:val="single"/>
              </w:rPr>
              <w:t>ealthcare.com</w:t>
            </w:r>
          </w:p>
        </w:tc>
      </w:tr>
    </w:tbl>
    <w:p w:rsidR="00AF20EF" w:rsidRDefault="00AF20EF" w:rsidP="00134C16">
      <w:pPr>
        <w:contextualSpacing/>
        <w:rPr>
          <w:sz w:val="20"/>
          <w:szCs w:val="20"/>
        </w:rPr>
      </w:pPr>
    </w:p>
    <w:p w:rsidR="00AF20EF" w:rsidRPr="007331DF" w:rsidRDefault="005B4742" w:rsidP="00134C16">
      <w:pPr>
        <w:contextualSpacing/>
        <w:rPr>
          <w:sz w:val="20"/>
          <w:szCs w:val="20"/>
        </w:rPr>
      </w:pPr>
      <w:r>
        <w:rPr>
          <w:sz w:val="20"/>
          <w:szCs w:val="20"/>
        </w:rPr>
        <w:t>2</w:t>
      </w:r>
      <w:bookmarkStart w:id="0" w:name="_GoBack"/>
      <w:bookmarkEnd w:id="0"/>
      <w:r>
        <w:rPr>
          <w:sz w:val="20"/>
          <w:szCs w:val="20"/>
        </w:rPr>
        <w:t>-6-24</w:t>
      </w:r>
    </w:p>
    <w:sectPr w:rsidR="00AF20EF" w:rsidRPr="007331DF" w:rsidSect="00983E31">
      <w:headerReference w:type="even" r:id="rId15"/>
      <w:headerReference w:type="default" r:id="rId16"/>
      <w:footerReference w:type="default" r:id="rId17"/>
      <w:pgSz w:w="12240" w:h="15840"/>
      <w:pgMar w:top="-162" w:right="1440" w:bottom="180" w:left="1440" w:header="720" w:footer="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CC9" w:rsidRDefault="00AE7CC9" w:rsidP="0055452C">
      <w:pPr>
        <w:spacing w:after="0" w:line="240" w:lineRule="auto"/>
      </w:pPr>
      <w:r>
        <w:separator/>
      </w:r>
    </w:p>
  </w:endnote>
  <w:endnote w:type="continuationSeparator" w:id="0">
    <w:p w:rsidR="00AE7CC9" w:rsidRDefault="00AE7CC9" w:rsidP="00554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251" w:rsidRDefault="00312251">
    <w:pPr>
      <w:pStyle w:val="Footer"/>
    </w:pPr>
  </w:p>
  <w:p w:rsidR="00312251" w:rsidRDefault="00312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CC9" w:rsidRDefault="00AE7CC9" w:rsidP="0055452C">
      <w:pPr>
        <w:spacing w:after="0" w:line="240" w:lineRule="auto"/>
      </w:pPr>
      <w:r>
        <w:separator/>
      </w:r>
    </w:p>
  </w:footnote>
  <w:footnote w:type="continuationSeparator" w:id="0">
    <w:p w:rsidR="00AE7CC9" w:rsidRDefault="00AE7CC9" w:rsidP="00554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251" w:rsidRDefault="00312251">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251" w:rsidRDefault="00312251">
    <w:pPr>
      <w:pStyle w:val="Header"/>
    </w:pPr>
    <w:r>
      <w:rPr>
        <w:noProof/>
      </w:rPr>
      <w:drawing>
        <wp:anchor distT="0" distB="0" distL="114300" distR="114300" simplePos="0" relativeHeight="251658240" behindDoc="1" locked="0" layoutInCell="1" allowOverlap="1">
          <wp:simplePos x="0" y="0"/>
          <wp:positionH relativeFrom="column">
            <wp:posOffset>-390525</wp:posOffset>
          </wp:positionH>
          <wp:positionV relativeFrom="paragraph">
            <wp:posOffset>-47625</wp:posOffset>
          </wp:positionV>
          <wp:extent cx="2162175" cy="609600"/>
          <wp:effectExtent l="19050" t="0" r="9525" b="0"/>
          <wp:wrapTight wrapText="bothSides">
            <wp:wrapPolygon edited="0">
              <wp:start x="-190" y="0"/>
              <wp:lineTo x="-190" y="20925"/>
              <wp:lineTo x="21695" y="20925"/>
              <wp:lineTo x="21695" y="0"/>
              <wp:lineTo x="-190" y="0"/>
            </wp:wrapPolygon>
          </wp:wrapTight>
          <wp:docPr id="2" name="Picture 1" descr="http://insite.sdcounty.ca.gov/hhsa/PublishingImages/LWSD_PARTNER_PAIR_HH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site.sdcounty.ca.gov/hhsa/PublishingImages/LWSD_PARTNER_PAIR_HHSA.jpg"/>
                  <pic:cNvPicPr>
                    <a:picLocks noChangeAspect="1" noChangeArrowheads="1"/>
                  </pic:cNvPicPr>
                </pic:nvPicPr>
                <pic:blipFill>
                  <a:blip r:embed="rId1"/>
                  <a:srcRect/>
                  <a:stretch>
                    <a:fillRect/>
                  </a:stretch>
                </pic:blipFill>
                <pic:spPr bwMode="auto">
                  <a:xfrm>
                    <a:off x="0" y="0"/>
                    <a:ext cx="2162175" cy="60960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0" locked="0" layoutInCell="1" allowOverlap="1">
          <wp:simplePos x="0" y="0"/>
          <wp:positionH relativeFrom="column">
            <wp:posOffset>5485765</wp:posOffset>
          </wp:positionH>
          <wp:positionV relativeFrom="paragraph">
            <wp:posOffset>-43815</wp:posOffset>
          </wp:positionV>
          <wp:extent cx="891540" cy="898525"/>
          <wp:effectExtent l="19050" t="0" r="3810" b="0"/>
          <wp:wrapSquare wrapText="bothSides"/>
          <wp:docPr id="5" name="Picture 5" descr="HS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D logo.jpg"/>
                  <pic:cNvPicPr>
                    <a:picLocks noChangeAspect="1" noChangeArrowheads="1"/>
                  </pic:cNvPicPr>
                </pic:nvPicPr>
                <pic:blipFill>
                  <a:blip r:embed="rId2"/>
                  <a:srcRect/>
                  <a:stretch>
                    <a:fillRect/>
                  </a:stretch>
                </pic:blipFill>
                <pic:spPr bwMode="auto">
                  <a:xfrm>
                    <a:off x="0" y="0"/>
                    <a:ext cx="891540" cy="898525"/>
                  </a:xfrm>
                  <a:prstGeom prst="rect">
                    <a:avLst/>
                  </a:prstGeom>
                  <a:noFill/>
                  <a:ln w="9525">
                    <a:noFill/>
                    <a:miter lim="800000"/>
                    <a:headEnd/>
                    <a:tailEnd/>
                  </a:ln>
                </pic:spPr>
              </pic:pic>
            </a:graphicData>
          </a:graphic>
        </wp:anchor>
      </w:drawing>
    </w:r>
    <w:r>
      <w:t xml:space="preserve"> </w:t>
    </w:r>
  </w:p>
  <w:p w:rsidR="00312251" w:rsidRDefault="003122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63508"/>
    <w:multiLevelType w:val="hybridMultilevel"/>
    <w:tmpl w:val="60DEBF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E6199"/>
    <w:multiLevelType w:val="multilevel"/>
    <w:tmpl w:val="C6122B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F538D3"/>
    <w:multiLevelType w:val="hybridMultilevel"/>
    <w:tmpl w:val="649AE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F363CD"/>
    <w:multiLevelType w:val="hybridMultilevel"/>
    <w:tmpl w:val="2710FE40"/>
    <w:lvl w:ilvl="0" w:tplc="E85C9DEE">
      <w:start w:val="700"/>
      <w:numFmt w:val="bullet"/>
      <w:lvlText w:val=""/>
      <w:lvlJc w:val="left"/>
      <w:pPr>
        <w:ind w:left="360" w:hanging="360"/>
      </w:pPr>
      <w:rPr>
        <w:rFonts w:ascii="Symbol" w:hAnsi="Symbol" w:hint="default"/>
        <w:color w:val="auto"/>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27D"/>
    <w:rsid w:val="00012BBC"/>
    <w:rsid w:val="00013781"/>
    <w:rsid w:val="000232A8"/>
    <w:rsid w:val="00026BB3"/>
    <w:rsid w:val="00043BA1"/>
    <w:rsid w:val="00055D84"/>
    <w:rsid w:val="00062116"/>
    <w:rsid w:val="00064915"/>
    <w:rsid w:val="00072969"/>
    <w:rsid w:val="00093ACF"/>
    <w:rsid w:val="000B443D"/>
    <w:rsid w:val="000C4E3A"/>
    <w:rsid w:val="000E53A2"/>
    <w:rsid w:val="0010216F"/>
    <w:rsid w:val="00114419"/>
    <w:rsid w:val="00134C16"/>
    <w:rsid w:val="00142FF4"/>
    <w:rsid w:val="00144DEB"/>
    <w:rsid w:val="00151ECD"/>
    <w:rsid w:val="0015626E"/>
    <w:rsid w:val="00175303"/>
    <w:rsid w:val="001A69C7"/>
    <w:rsid w:val="001C152E"/>
    <w:rsid w:val="001D4349"/>
    <w:rsid w:val="001E7BF6"/>
    <w:rsid w:val="001F401D"/>
    <w:rsid w:val="001F7802"/>
    <w:rsid w:val="00210E72"/>
    <w:rsid w:val="00212F99"/>
    <w:rsid w:val="002148B5"/>
    <w:rsid w:val="00257EDB"/>
    <w:rsid w:val="00277BA1"/>
    <w:rsid w:val="002B0CD6"/>
    <w:rsid w:val="002C42E6"/>
    <w:rsid w:val="002D3A8B"/>
    <w:rsid w:val="002E1C54"/>
    <w:rsid w:val="00312251"/>
    <w:rsid w:val="00325E2E"/>
    <w:rsid w:val="003549EA"/>
    <w:rsid w:val="003B4D78"/>
    <w:rsid w:val="003D0B1D"/>
    <w:rsid w:val="003E0DBC"/>
    <w:rsid w:val="003E4913"/>
    <w:rsid w:val="003E5263"/>
    <w:rsid w:val="003F5BE2"/>
    <w:rsid w:val="00412C99"/>
    <w:rsid w:val="0042327B"/>
    <w:rsid w:val="004265B8"/>
    <w:rsid w:val="004272B3"/>
    <w:rsid w:val="004277D7"/>
    <w:rsid w:val="00437D4E"/>
    <w:rsid w:val="004421B8"/>
    <w:rsid w:val="00445161"/>
    <w:rsid w:val="004825E4"/>
    <w:rsid w:val="004A4BFB"/>
    <w:rsid w:val="004A5592"/>
    <w:rsid w:val="004B7F32"/>
    <w:rsid w:val="004C4A4C"/>
    <w:rsid w:val="004C6DF4"/>
    <w:rsid w:val="004F0F14"/>
    <w:rsid w:val="004F23C9"/>
    <w:rsid w:val="004F7E2F"/>
    <w:rsid w:val="0050527D"/>
    <w:rsid w:val="005273B7"/>
    <w:rsid w:val="00551D49"/>
    <w:rsid w:val="0055452C"/>
    <w:rsid w:val="0056176E"/>
    <w:rsid w:val="0059655A"/>
    <w:rsid w:val="005A1D96"/>
    <w:rsid w:val="005A513A"/>
    <w:rsid w:val="005B3A2B"/>
    <w:rsid w:val="005B4742"/>
    <w:rsid w:val="005D41FF"/>
    <w:rsid w:val="005D47F4"/>
    <w:rsid w:val="005D4859"/>
    <w:rsid w:val="005D6D4F"/>
    <w:rsid w:val="005E7B33"/>
    <w:rsid w:val="00602806"/>
    <w:rsid w:val="006110DA"/>
    <w:rsid w:val="006325C4"/>
    <w:rsid w:val="0063776D"/>
    <w:rsid w:val="006448F2"/>
    <w:rsid w:val="0064765C"/>
    <w:rsid w:val="006510F6"/>
    <w:rsid w:val="006939F2"/>
    <w:rsid w:val="00695542"/>
    <w:rsid w:val="006B479D"/>
    <w:rsid w:val="006C632C"/>
    <w:rsid w:val="006D1941"/>
    <w:rsid w:val="006D6431"/>
    <w:rsid w:val="006F5993"/>
    <w:rsid w:val="007061A1"/>
    <w:rsid w:val="00710EA6"/>
    <w:rsid w:val="00721088"/>
    <w:rsid w:val="007331DF"/>
    <w:rsid w:val="00734A0A"/>
    <w:rsid w:val="00745BE1"/>
    <w:rsid w:val="0078365F"/>
    <w:rsid w:val="00793EA0"/>
    <w:rsid w:val="00797C51"/>
    <w:rsid w:val="007D4138"/>
    <w:rsid w:val="008105EA"/>
    <w:rsid w:val="008143C6"/>
    <w:rsid w:val="00817E22"/>
    <w:rsid w:val="00821E4E"/>
    <w:rsid w:val="00833630"/>
    <w:rsid w:val="00850D73"/>
    <w:rsid w:val="00864D6F"/>
    <w:rsid w:val="008B7E6A"/>
    <w:rsid w:val="008C58E5"/>
    <w:rsid w:val="008D45B1"/>
    <w:rsid w:val="008E6C8F"/>
    <w:rsid w:val="008F59F8"/>
    <w:rsid w:val="00925A44"/>
    <w:rsid w:val="0093563F"/>
    <w:rsid w:val="00942761"/>
    <w:rsid w:val="00943BC9"/>
    <w:rsid w:val="00981053"/>
    <w:rsid w:val="00983E31"/>
    <w:rsid w:val="009959C9"/>
    <w:rsid w:val="009A5289"/>
    <w:rsid w:val="009B51E0"/>
    <w:rsid w:val="009B5C21"/>
    <w:rsid w:val="009C55AB"/>
    <w:rsid w:val="009C601F"/>
    <w:rsid w:val="009F491F"/>
    <w:rsid w:val="00A02D39"/>
    <w:rsid w:val="00A10FC1"/>
    <w:rsid w:val="00A11704"/>
    <w:rsid w:val="00A3787A"/>
    <w:rsid w:val="00A525A9"/>
    <w:rsid w:val="00A56655"/>
    <w:rsid w:val="00A669F5"/>
    <w:rsid w:val="00A72E49"/>
    <w:rsid w:val="00A97A37"/>
    <w:rsid w:val="00AA3A38"/>
    <w:rsid w:val="00AB32DB"/>
    <w:rsid w:val="00AE4B12"/>
    <w:rsid w:val="00AE7CC9"/>
    <w:rsid w:val="00AF20EF"/>
    <w:rsid w:val="00AF4596"/>
    <w:rsid w:val="00B04F29"/>
    <w:rsid w:val="00B217F6"/>
    <w:rsid w:val="00B2181A"/>
    <w:rsid w:val="00B3759F"/>
    <w:rsid w:val="00B43809"/>
    <w:rsid w:val="00B440CA"/>
    <w:rsid w:val="00B52E2D"/>
    <w:rsid w:val="00B61C43"/>
    <w:rsid w:val="00B64F58"/>
    <w:rsid w:val="00BB2DC8"/>
    <w:rsid w:val="00BD4060"/>
    <w:rsid w:val="00BD44E5"/>
    <w:rsid w:val="00C023F8"/>
    <w:rsid w:val="00C0602B"/>
    <w:rsid w:val="00C56817"/>
    <w:rsid w:val="00C94604"/>
    <w:rsid w:val="00CA5907"/>
    <w:rsid w:val="00CE31C1"/>
    <w:rsid w:val="00D2440D"/>
    <w:rsid w:val="00D32333"/>
    <w:rsid w:val="00D32B2A"/>
    <w:rsid w:val="00D43370"/>
    <w:rsid w:val="00D62D95"/>
    <w:rsid w:val="00D725F1"/>
    <w:rsid w:val="00D752B0"/>
    <w:rsid w:val="00D81A91"/>
    <w:rsid w:val="00DA65F1"/>
    <w:rsid w:val="00DA76C3"/>
    <w:rsid w:val="00DB29D8"/>
    <w:rsid w:val="00DC06A8"/>
    <w:rsid w:val="00DC280B"/>
    <w:rsid w:val="00DC30CE"/>
    <w:rsid w:val="00DF1A7F"/>
    <w:rsid w:val="00E27B53"/>
    <w:rsid w:val="00E30BDF"/>
    <w:rsid w:val="00E31B75"/>
    <w:rsid w:val="00E4291C"/>
    <w:rsid w:val="00E53556"/>
    <w:rsid w:val="00E551D0"/>
    <w:rsid w:val="00E562C6"/>
    <w:rsid w:val="00E65C36"/>
    <w:rsid w:val="00E67303"/>
    <w:rsid w:val="00E67AEB"/>
    <w:rsid w:val="00E74C8A"/>
    <w:rsid w:val="00E77F31"/>
    <w:rsid w:val="00EE308F"/>
    <w:rsid w:val="00EE7A9B"/>
    <w:rsid w:val="00EF1712"/>
    <w:rsid w:val="00EF5F46"/>
    <w:rsid w:val="00F06B01"/>
    <w:rsid w:val="00F12AC0"/>
    <w:rsid w:val="00F3009C"/>
    <w:rsid w:val="00F40773"/>
    <w:rsid w:val="00F66D3B"/>
    <w:rsid w:val="00F7142B"/>
    <w:rsid w:val="00F95DF4"/>
    <w:rsid w:val="00FA0AEC"/>
    <w:rsid w:val="00FB789F"/>
    <w:rsid w:val="00FC5FEB"/>
    <w:rsid w:val="00FD5904"/>
    <w:rsid w:val="00FE2555"/>
    <w:rsid w:val="00FE43D2"/>
    <w:rsid w:val="00FF4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B2C3D75"/>
  <w15:docId w15:val="{520A6525-9326-4088-8CED-CAF25FD5C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EA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7B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5452C"/>
    <w:pPr>
      <w:tabs>
        <w:tab w:val="center" w:pos="4680"/>
        <w:tab w:val="right" w:pos="9360"/>
      </w:tabs>
    </w:pPr>
  </w:style>
  <w:style w:type="character" w:customStyle="1" w:styleId="HeaderChar">
    <w:name w:val="Header Char"/>
    <w:link w:val="Header"/>
    <w:uiPriority w:val="99"/>
    <w:rsid w:val="0055452C"/>
    <w:rPr>
      <w:sz w:val="22"/>
      <w:szCs w:val="22"/>
    </w:rPr>
  </w:style>
  <w:style w:type="paragraph" w:styleId="Footer">
    <w:name w:val="footer"/>
    <w:basedOn w:val="Normal"/>
    <w:link w:val="FooterChar"/>
    <w:uiPriority w:val="99"/>
    <w:unhideWhenUsed/>
    <w:rsid w:val="0055452C"/>
    <w:pPr>
      <w:tabs>
        <w:tab w:val="center" w:pos="4680"/>
        <w:tab w:val="right" w:pos="9360"/>
      </w:tabs>
    </w:pPr>
  </w:style>
  <w:style w:type="character" w:customStyle="1" w:styleId="FooterChar">
    <w:name w:val="Footer Char"/>
    <w:link w:val="Footer"/>
    <w:uiPriority w:val="99"/>
    <w:rsid w:val="0055452C"/>
    <w:rPr>
      <w:sz w:val="22"/>
      <w:szCs w:val="22"/>
    </w:rPr>
  </w:style>
  <w:style w:type="paragraph" w:styleId="BalloonText">
    <w:name w:val="Balloon Text"/>
    <w:basedOn w:val="Normal"/>
    <w:link w:val="BalloonTextChar"/>
    <w:uiPriority w:val="99"/>
    <w:semiHidden/>
    <w:unhideWhenUsed/>
    <w:rsid w:val="0055452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5452C"/>
    <w:rPr>
      <w:rFonts w:ascii="Tahoma" w:hAnsi="Tahoma" w:cs="Tahoma"/>
      <w:sz w:val="16"/>
      <w:szCs w:val="16"/>
    </w:rPr>
  </w:style>
  <w:style w:type="character" w:styleId="Strong">
    <w:name w:val="Strong"/>
    <w:uiPriority w:val="22"/>
    <w:qFormat/>
    <w:rsid w:val="0078365F"/>
    <w:rPr>
      <w:b/>
      <w:bCs/>
    </w:rPr>
  </w:style>
  <w:style w:type="character" w:customStyle="1" w:styleId="apple-converted-space">
    <w:name w:val="apple-converted-space"/>
    <w:basedOn w:val="DefaultParagraphFont"/>
    <w:rsid w:val="00144DEB"/>
  </w:style>
  <w:style w:type="character" w:styleId="Hyperlink">
    <w:name w:val="Hyperlink"/>
    <w:basedOn w:val="DefaultParagraphFont"/>
    <w:uiPriority w:val="99"/>
    <w:semiHidden/>
    <w:unhideWhenUsed/>
    <w:rsid w:val="00144DEB"/>
    <w:rPr>
      <w:color w:val="0000FF"/>
      <w:u w:val="single"/>
    </w:rPr>
  </w:style>
  <w:style w:type="paragraph" w:customStyle="1" w:styleId="Default">
    <w:name w:val="Default"/>
    <w:rsid w:val="00797C5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27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scola\Desktop\Behavioral%20Health%20Servi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2ADEA-D0FD-402D-BD36-FDA0D88E2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Behavioral Health Services</Template>
  <TotalTime>19</TotalTime>
  <Pages>2</Pages>
  <Words>872</Words>
  <Characters>5623</Characters>
  <Application>Microsoft Office Word</Application>
  <DocSecurity>0</DocSecurity>
  <Lines>187</Lines>
  <Paragraphs>104</Paragraphs>
  <ScaleCrop>false</ScaleCrop>
  <HeadingPairs>
    <vt:vector size="2" baseType="variant">
      <vt:variant>
        <vt:lpstr>Title</vt:lpstr>
      </vt:variant>
      <vt:variant>
        <vt:i4>1</vt:i4>
      </vt:variant>
    </vt:vector>
  </HeadingPairs>
  <TitlesOfParts>
    <vt:vector size="1" baseType="lpstr">
      <vt:lpstr/>
    </vt:vector>
  </TitlesOfParts>
  <Company>Community Health Group</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Community Health Group User</dc:creator>
  <cp:lastModifiedBy>Salvador Tapia</cp:lastModifiedBy>
  <cp:revision>6</cp:revision>
  <cp:lastPrinted>2017-06-20T16:55:00Z</cp:lastPrinted>
  <dcterms:created xsi:type="dcterms:W3CDTF">2019-09-24T19:39:00Z</dcterms:created>
  <dcterms:modified xsi:type="dcterms:W3CDTF">2024-02-06T18:15:00Z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1b56286d298ad1da70f8d0dc145037fc08064d31600bb607b059f21110cd0b14</vt:lpwstr>
  </property>
</Properties>
</file>